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95828" w14:textId="538455EF" w:rsidR="007E1D03" w:rsidRPr="00B50370" w:rsidRDefault="00BD7584" w:rsidP="00BD7584">
      <w:pPr>
        <w:pStyle w:val="Heading2"/>
        <w:jc w:val="center"/>
        <w:rPr>
          <w:b/>
          <w:bCs/>
          <w:sz w:val="32"/>
          <w:szCs w:val="32"/>
        </w:rPr>
      </w:pPr>
      <w:r w:rsidRPr="00B50370">
        <w:rPr>
          <w:b/>
          <w:bCs/>
          <w:sz w:val="32"/>
          <w:szCs w:val="32"/>
        </w:rPr>
        <w:t>Lincoln Youth Homelessness Demonstration Program</w:t>
      </w:r>
    </w:p>
    <w:p w14:paraId="701EADFF" w14:textId="16E1A358" w:rsidR="00BD7584" w:rsidRPr="00B50370" w:rsidRDefault="00BD7584" w:rsidP="00BD7584">
      <w:pPr>
        <w:pStyle w:val="Heading2"/>
        <w:jc w:val="center"/>
        <w:rPr>
          <w:b/>
          <w:bCs/>
          <w:sz w:val="32"/>
          <w:szCs w:val="32"/>
        </w:rPr>
      </w:pPr>
      <w:r w:rsidRPr="00B50370">
        <w:rPr>
          <w:b/>
          <w:bCs/>
          <w:sz w:val="32"/>
          <w:szCs w:val="32"/>
        </w:rPr>
        <w:t>AAQ (Ask a Question) Responses</w:t>
      </w:r>
    </w:p>
    <w:p w14:paraId="6944218F" w14:textId="76AD158D" w:rsidR="00BD7584" w:rsidRDefault="00BD7584" w:rsidP="00BD7584"/>
    <w:p w14:paraId="1561A08B" w14:textId="2D6A4A8B" w:rsidR="00775CB2" w:rsidRDefault="00775CB2" w:rsidP="00775CB2">
      <w:pPr>
        <w:rPr>
          <w:b/>
          <w:bCs/>
          <w:u w:val="single"/>
        </w:rPr>
      </w:pPr>
      <w:r>
        <w:rPr>
          <w:b/>
          <w:bCs/>
          <w:u w:val="single"/>
        </w:rPr>
        <w:t>As of May 5</w:t>
      </w:r>
      <w:r w:rsidRPr="005A6584">
        <w:rPr>
          <w:b/>
          <w:bCs/>
          <w:u w:val="single"/>
          <w:vertAlign w:val="superscript"/>
        </w:rPr>
        <w:t>th</w:t>
      </w:r>
      <w:r>
        <w:rPr>
          <w:b/>
          <w:bCs/>
          <w:u w:val="single"/>
        </w:rPr>
        <w:t>, 2022</w:t>
      </w:r>
    </w:p>
    <w:p w14:paraId="6920B72D" w14:textId="183270D2" w:rsidR="00775CB2" w:rsidRDefault="00775CB2" w:rsidP="00BD7584">
      <w:pPr>
        <w:rPr>
          <w:rFonts w:ascii="Arial" w:hAnsi="Arial" w:cs="Arial"/>
          <w:i/>
          <w:iCs/>
          <w:color w:val="222222"/>
          <w:shd w:val="clear" w:color="auto" w:fill="FFFFFF"/>
        </w:rPr>
      </w:pPr>
      <w:r w:rsidRPr="00775CB2">
        <w:rPr>
          <w:rFonts w:ascii="Arial" w:hAnsi="Arial" w:cs="Arial"/>
          <w:i/>
          <w:iCs/>
          <w:color w:val="222222"/>
          <w:shd w:val="clear" w:color="auto" w:fill="FFFFFF"/>
        </w:rPr>
        <w:t xml:space="preserve">Is the entity that is awarded rapid response assistance (case management) obligated to match funds held by </w:t>
      </w:r>
      <w:r>
        <w:rPr>
          <w:rFonts w:ascii="Arial" w:hAnsi="Arial" w:cs="Arial"/>
          <w:i/>
          <w:iCs/>
          <w:color w:val="222222"/>
          <w:shd w:val="clear" w:color="auto" w:fill="FFFFFF"/>
        </w:rPr>
        <w:t xml:space="preserve">the </w:t>
      </w:r>
      <w:r w:rsidRPr="00775CB2">
        <w:rPr>
          <w:rFonts w:ascii="Arial" w:hAnsi="Arial" w:cs="Arial"/>
          <w:i/>
          <w:iCs/>
          <w:color w:val="222222"/>
          <w:shd w:val="clear" w:color="auto" w:fill="FFFFFF"/>
        </w:rPr>
        <w:t>common funder?</w:t>
      </w:r>
    </w:p>
    <w:p w14:paraId="621EED4C" w14:textId="5730BC31" w:rsidR="00775CB2" w:rsidRPr="00827380" w:rsidRDefault="00775CB2" w:rsidP="00775CB2">
      <w:pPr>
        <w:pStyle w:val="Heading3"/>
        <w:shd w:val="clear" w:color="auto" w:fill="FFFFFF"/>
        <w:spacing w:before="300" w:after="150"/>
        <w:rPr>
          <w:rFonts w:asciiTheme="minorHAnsi" w:hAnsiTheme="minorHAnsi" w:cstheme="minorHAnsi"/>
          <w:b/>
          <w:bCs/>
        </w:rPr>
      </w:pPr>
      <w:r w:rsidRPr="00827380">
        <w:rPr>
          <w:rFonts w:asciiTheme="minorHAnsi" w:hAnsiTheme="minorHAnsi" w:cstheme="minorHAnsi"/>
          <w:b/>
          <w:bCs/>
          <w:color w:val="222222"/>
          <w:shd w:val="clear" w:color="auto" w:fill="FFFFFF"/>
        </w:rPr>
        <w:t xml:space="preserve">The required match obligation for any CoC-funded grant is 25% of the awarded grant amount minus funds for leasing.  Cash or in-kind resources will satisfy the match requirement. </w:t>
      </w:r>
      <w:r w:rsidRPr="00827380">
        <w:rPr>
          <w:rFonts w:asciiTheme="minorHAnsi" w:hAnsiTheme="minorHAnsi" w:cstheme="minorHAnsi"/>
          <w:b/>
          <w:bCs/>
          <w:color w:val="333333"/>
          <w:sz w:val="22"/>
          <w:szCs w:val="22"/>
        </w:rPr>
        <w:t>(</w:t>
      </w:r>
      <w:hyperlink r:id="rId7" w:tgtFrame="_blank" w:history="1">
        <w:r w:rsidRPr="00827380">
          <w:rPr>
            <w:rStyle w:val="Hyperlink"/>
            <w:rFonts w:asciiTheme="minorHAnsi" w:hAnsiTheme="minorHAnsi" w:cstheme="minorHAnsi"/>
            <w:b/>
            <w:bCs/>
            <w:color w:val="337AB7"/>
            <w:sz w:val="22"/>
            <w:szCs w:val="22"/>
          </w:rPr>
          <w:t>§ 578.73(a)</w:t>
        </w:r>
      </w:hyperlink>
      <w:r w:rsidRPr="00827380">
        <w:rPr>
          <w:rFonts w:asciiTheme="minorHAnsi" w:hAnsiTheme="minorHAnsi" w:cstheme="minorHAnsi"/>
          <w:b/>
          <w:bCs/>
          <w:color w:val="333333"/>
          <w:sz w:val="22"/>
          <w:szCs w:val="22"/>
        </w:rPr>
        <w:t xml:space="preserve">). </w:t>
      </w:r>
      <w:r w:rsidRPr="00827380">
        <w:rPr>
          <w:rFonts w:asciiTheme="minorHAnsi" w:hAnsiTheme="minorHAnsi" w:cstheme="minorHAnsi"/>
          <w:b/>
          <w:bCs/>
          <w:color w:val="222222"/>
          <w:shd w:val="clear" w:color="auto" w:fill="FFFFFF"/>
        </w:rPr>
        <w:t xml:space="preserve"> If a rapid response </w:t>
      </w:r>
      <w:r w:rsidR="00827380" w:rsidRPr="00827380">
        <w:rPr>
          <w:rFonts w:asciiTheme="minorHAnsi" w:hAnsiTheme="minorHAnsi" w:cstheme="minorHAnsi"/>
          <w:b/>
          <w:bCs/>
          <w:color w:val="222222"/>
          <w:shd w:val="clear" w:color="auto" w:fill="FFFFFF"/>
        </w:rPr>
        <w:t>program</w:t>
      </w:r>
      <w:r w:rsidRPr="00827380">
        <w:rPr>
          <w:rFonts w:asciiTheme="minorHAnsi" w:hAnsiTheme="minorHAnsi" w:cstheme="minorHAnsi"/>
          <w:b/>
          <w:bCs/>
          <w:color w:val="222222"/>
          <w:shd w:val="clear" w:color="auto" w:fill="FFFFFF"/>
        </w:rPr>
        <w:t xml:space="preserve"> does not include allocation of funds to the common </w:t>
      </w:r>
      <w:proofErr w:type="gramStart"/>
      <w:r w:rsidRPr="00827380">
        <w:rPr>
          <w:rFonts w:asciiTheme="minorHAnsi" w:hAnsiTheme="minorHAnsi" w:cstheme="minorHAnsi"/>
          <w:b/>
          <w:bCs/>
          <w:color w:val="222222"/>
          <w:shd w:val="clear" w:color="auto" w:fill="FFFFFF"/>
        </w:rPr>
        <w:t>fund</w:t>
      </w:r>
      <w:proofErr w:type="gramEnd"/>
      <w:r w:rsidR="00827380" w:rsidRPr="00827380">
        <w:rPr>
          <w:rFonts w:asciiTheme="minorHAnsi" w:hAnsiTheme="minorHAnsi" w:cstheme="minorHAnsi"/>
          <w:b/>
          <w:bCs/>
          <w:color w:val="222222"/>
          <w:shd w:val="clear" w:color="auto" w:fill="FFFFFF"/>
        </w:rPr>
        <w:t xml:space="preserve"> there would be no match requirement for that program of funds allocated to the common fund by another rapid response program. </w:t>
      </w:r>
      <w:r w:rsidR="005B1261">
        <w:rPr>
          <w:rFonts w:asciiTheme="minorHAnsi" w:hAnsiTheme="minorHAnsi" w:cstheme="minorHAnsi"/>
          <w:b/>
          <w:bCs/>
          <w:color w:val="222222"/>
          <w:shd w:val="clear" w:color="auto" w:fill="FFFFFF"/>
        </w:rPr>
        <w:t xml:space="preserve">  The match required is 25% of the awarded amount. </w:t>
      </w:r>
    </w:p>
    <w:p w14:paraId="1243DFCB" w14:textId="2F714A4E" w:rsidR="005A6584" w:rsidRDefault="005A6584" w:rsidP="00BD7584">
      <w:pPr>
        <w:rPr>
          <w:b/>
          <w:bCs/>
          <w:u w:val="single"/>
        </w:rPr>
      </w:pPr>
      <w:bookmarkStart w:id="0" w:name="_Hlk102464067"/>
      <w:r>
        <w:rPr>
          <w:b/>
          <w:bCs/>
          <w:u w:val="single"/>
        </w:rPr>
        <w:t>As of May 4</w:t>
      </w:r>
      <w:r w:rsidRPr="005A6584">
        <w:rPr>
          <w:b/>
          <w:bCs/>
          <w:u w:val="single"/>
          <w:vertAlign w:val="superscript"/>
        </w:rPr>
        <w:t>th</w:t>
      </w:r>
      <w:r>
        <w:rPr>
          <w:b/>
          <w:bCs/>
          <w:u w:val="single"/>
        </w:rPr>
        <w:t>, 2022</w:t>
      </w:r>
    </w:p>
    <w:p w14:paraId="283C588C" w14:textId="24260679" w:rsidR="005A6584" w:rsidRPr="005A6584" w:rsidRDefault="005A6584" w:rsidP="00BD7584">
      <w:pPr>
        <w:rPr>
          <w:b/>
          <w:bCs/>
          <w:i/>
          <w:iCs/>
          <w:u w:val="single"/>
        </w:rPr>
      </w:pPr>
      <w:r w:rsidRPr="005A6584">
        <w:rPr>
          <w:rFonts w:ascii="Calibri" w:hAnsi="Calibri" w:cs="Calibri"/>
          <w:i/>
          <w:iCs/>
          <w:color w:val="000000"/>
          <w:shd w:val="clear" w:color="auto" w:fill="FFFFFF"/>
        </w:rPr>
        <w:t>Should a budget narrative accompany the budget and is the budget part of the page limit? </w:t>
      </w:r>
    </w:p>
    <w:p w14:paraId="43A555DA" w14:textId="050AAD84" w:rsidR="005A6584" w:rsidRPr="005A6584" w:rsidRDefault="005A6584" w:rsidP="00BD7584">
      <w:pPr>
        <w:rPr>
          <w:b/>
          <w:bCs/>
          <w:u w:val="single"/>
        </w:rPr>
      </w:pPr>
      <w:r w:rsidRPr="005A6584">
        <w:rPr>
          <w:b/>
          <w:bCs/>
        </w:rPr>
        <w:t>Answer:  As specified on page 9 of the RFP</w:t>
      </w:r>
      <w:r>
        <w:rPr>
          <w:b/>
          <w:bCs/>
        </w:rPr>
        <w:t xml:space="preserve">, 8. Project Implementation </w:t>
      </w:r>
      <w:r w:rsidRPr="005A6584">
        <w:rPr>
          <w:b/>
          <w:bCs/>
        </w:rPr>
        <w:t xml:space="preserve">e. Budget. </w:t>
      </w:r>
      <w:r>
        <w:rPr>
          <w:b/>
          <w:bCs/>
        </w:rPr>
        <w:t>“</w:t>
      </w:r>
      <w:r w:rsidRPr="005A6584">
        <w:rPr>
          <w:b/>
          <w:bCs/>
        </w:rPr>
        <w:t>Provide a clear budget for the project that supports the housing, services, and staff proposed. Costs should be reasonable, justified, and competitive. The budget must demonstrate the project is cost effective with costs not deviating substantially from the norm in that locale for the type of structure or kind of activity.</w:t>
      </w:r>
      <w:r>
        <w:rPr>
          <w:b/>
          <w:bCs/>
        </w:rPr>
        <w:t xml:space="preserve">”  An applicant certainly could include a narrative to meet </w:t>
      </w:r>
      <w:proofErr w:type="gramStart"/>
      <w:r>
        <w:rPr>
          <w:b/>
          <w:bCs/>
        </w:rPr>
        <w:t>this criteria</w:t>
      </w:r>
      <w:proofErr w:type="gramEnd"/>
      <w:r>
        <w:rPr>
          <w:b/>
          <w:bCs/>
        </w:rPr>
        <w:t xml:space="preserve">.   A budget narrative included as part of the response to “Section 8. Project Implementation Plan e. </w:t>
      </w:r>
      <w:proofErr w:type="gramStart"/>
      <w:r>
        <w:rPr>
          <w:b/>
          <w:bCs/>
        </w:rPr>
        <w:t>Budget”  is</w:t>
      </w:r>
      <w:proofErr w:type="gramEnd"/>
      <w:r>
        <w:rPr>
          <w:b/>
          <w:bCs/>
        </w:rPr>
        <w:t xml:space="preserve"> part of the 15 page limit.  A </w:t>
      </w:r>
      <w:proofErr w:type="gramStart"/>
      <w:r>
        <w:rPr>
          <w:b/>
          <w:bCs/>
        </w:rPr>
        <w:t>line item</w:t>
      </w:r>
      <w:proofErr w:type="gramEnd"/>
      <w:r>
        <w:rPr>
          <w:b/>
          <w:bCs/>
        </w:rPr>
        <w:t xml:space="preserve"> budget table included as an attachment would not count toward the 15 page limit. </w:t>
      </w:r>
    </w:p>
    <w:p w14:paraId="38180A69" w14:textId="77777777" w:rsidR="005A6584" w:rsidRDefault="005A6584" w:rsidP="00BD7584">
      <w:pPr>
        <w:rPr>
          <w:b/>
          <w:bCs/>
          <w:u w:val="single"/>
        </w:rPr>
      </w:pPr>
    </w:p>
    <w:p w14:paraId="53F3581C" w14:textId="50ED3BB2" w:rsidR="001C0CB3" w:rsidRPr="001C0CB3" w:rsidRDefault="001C0CB3" w:rsidP="00BD7584">
      <w:pPr>
        <w:rPr>
          <w:b/>
          <w:bCs/>
          <w:u w:val="single"/>
        </w:rPr>
      </w:pPr>
      <w:r w:rsidRPr="001C0CB3">
        <w:rPr>
          <w:b/>
          <w:bCs/>
          <w:u w:val="single"/>
        </w:rPr>
        <w:t>As of May 3</w:t>
      </w:r>
      <w:r w:rsidRPr="001C0CB3">
        <w:rPr>
          <w:b/>
          <w:bCs/>
          <w:u w:val="single"/>
          <w:vertAlign w:val="superscript"/>
        </w:rPr>
        <w:t>rd</w:t>
      </w:r>
      <w:r w:rsidRPr="001C0CB3">
        <w:rPr>
          <w:b/>
          <w:bCs/>
          <w:u w:val="single"/>
        </w:rPr>
        <w:t xml:space="preserve">, 2022: </w:t>
      </w:r>
    </w:p>
    <w:p w14:paraId="4D8BC563" w14:textId="2770FF5F" w:rsidR="001C0CB3" w:rsidRPr="001C0CB3" w:rsidRDefault="001C0CB3" w:rsidP="001C0CB3">
      <w:pPr>
        <w:shd w:val="clear" w:color="auto" w:fill="FFFFFF"/>
        <w:spacing w:after="0" w:line="240" w:lineRule="auto"/>
        <w:rPr>
          <w:rFonts w:eastAsia="Times New Roman" w:cstheme="minorHAnsi"/>
          <w:i/>
          <w:iCs/>
          <w:color w:val="222222"/>
        </w:rPr>
      </w:pPr>
      <w:r w:rsidRPr="001C0CB3">
        <w:rPr>
          <w:rFonts w:eastAsia="Times New Roman" w:cstheme="minorHAnsi"/>
          <w:i/>
          <w:iCs/>
          <w:color w:val="222222"/>
        </w:rPr>
        <w:t xml:space="preserve">Will the funds for Rapid Response Assistance be housed with the selected organization or with the common fundholder (LCF or Nebraska Children &amp; Families Foundation)?  If the funds are housed at the common fundholder (LCF or Nebraska Children), is </w:t>
      </w:r>
      <w:r w:rsidR="001932AB">
        <w:rPr>
          <w:rFonts w:eastAsia="Times New Roman" w:cstheme="minorHAnsi"/>
          <w:i/>
          <w:iCs/>
          <w:color w:val="222222"/>
        </w:rPr>
        <w:t xml:space="preserve">a </w:t>
      </w:r>
      <w:r w:rsidRPr="001C0CB3">
        <w:rPr>
          <w:rFonts w:eastAsia="Times New Roman" w:cstheme="minorHAnsi"/>
          <w:i/>
          <w:iCs/>
          <w:color w:val="222222"/>
        </w:rPr>
        <w:t>match for the entity applying required for the total rapid response assistance amount?</w:t>
      </w:r>
    </w:p>
    <w:p w14:paraId="062041A2" w14:textId="77777777" w:rsidR="001C0CB3" w:rsidRPr="001C0CB3" w:rsidRDefault="001C0CB3" w:rsidP="001C0CB3">
      <w:pPr>
        <w:shd w:val="clear" w:color="auto" w:fill="FFFFFF"/>
        <w:spacing w:after="0" w:line="240" w:lineRule="auto"/>
        <w:rPr>
          <w:rFonts w:ascii="Arial" w:eastAsia="Times New Roman" w:hAnsi="Arial" w:cs="Arial"/>
          <w:color w:val="222222"/>
          <w:sz w:val="24"/>
          <w:szCs w:val="24"/>
        </w:rPr>
      </w:pPr>
      <w:r w:rsidRPr="001C0CB3">
        <w:rPr>
          <w:rFonts w:ascii="Arial" w:eastAsia="Times New Roman" w:hAnsi="Arial" w:cs="Arial"/>
          <w:color w:val="222222"/>
          <w:sz w:val="24"/>
          <w:szCs w:val="24"/>
        </w:rPr>
        <w:t> </w:t>
      </w:r>
    </w:p>
    <w:p w14:paraId="3E4A37C1" w14:textId="35ED1D10" w:rsidR="001C0CB3" w:rsidRDefault="001C0CB3" w:rsidP="00BD7584">
      <w:r>
        <w:rPr>
          <w:rFonts w:cstheme="minorHAnsi"/>
          <w:b/>
          <w:bCs/>
          <w:color w:val="222222"/>
        </w:rPr>
        <w:t>Answer: Financial assistance funds as part of a Rapid Response project will be held by the Common Fundholder. Required HUD Match should be specified as part of the proposal</w:t>
      </w:r>
      <w:r w:rsidR="00784D40">
        <w:rPr>
          <w:rFonts w:cstheme="minorHAnsi"/>
          <w:b/>
          <w:bCs/>
          <w:color w:val="222222"/>
        </w:rPr>
        <w:t>,</w:t>
      </w:r>
      <w:r>
        <w:rPr>
          <w:rFonts w:cstheme="minorHAnsi"/>
          <w:b/>
          <w:bCs/>
          <w:color w:val="222222"/>
        </w:rPr>
        <w:t xml:space="preserve"> including the financial assistance. </w:t>
      </w:r>
    </w:p>
    <w:p w14:paraId="0BAE606A" w14:textId="5B3FDCC2" w:rsidR="001C0CB3" w:rsidRDefault="001C0CB3" w:rsidP="001C0CB3">
      <w:pPr>
        <w:pStyle w:val="NormalWeb"/>
        <w:shd w:val="clear" w:color="auto" w:fill="FFFFFF"/>
        <w:rPr>
          <w:rFonts w:asciiTheme="minorHAnsi" w:hAnsiTheme="minorHAnsi" w:cstheme="minorHAnsi"/>
          <w:i/>
          <w:iCs/>
          <w:color w:val="222222"/>
          <w:sz w:val="22"/>
          <w:szCs w:val="22"/>
        </w:rPr>
      </w:pPr>
      <w:r w:rsidRPr="001C0CB3">
        <w:rPr>
          <w:rFonts w:asciiTheme="minorHAnsi" w:hAnsiTheme="minorHAnsi" w:cstheme="minorHAnsi"/>
          <w:i/>
          <w:iCs/>
          <w:color w:val="222222"/>
          <w:sz w:val="22"/>
          <w:szCs w:val="22"/>
        </w:rPr>
        <w:t>The format for the Proposal Components outlined in the RFP is different than the scoring criteria format provided in the RFP.  Which format structure is recommended for a full program proposa</w:t>
      </w:r>
      <w:r>
        <w:rPr>
          <w:rFonts w:asciiTheme="minorHAnsi" w:hAnsiTheme="minorHAnsi" w:cstheme="minorHAnsi"/>
          <w:i/>
          <w:iCs/>
          <w:color w:val="222222"/>
          <w:sz w:val="22"/>
          <w:szCs w:val="22"/>
        </w:rPr>
        <w:t>l?</w:t>
      </w:r>
    </w:p>
    <w:p w14:paraId="3C04DD90" w14:textId="04B62428" w:rsidR="001C0CB3" w:rsidRPr="001C0CB3" w:rsidRDefault="001C0CB3" w:rsidP="001C0CB3">
      <w:pPr>
        <w:pStyle w:val="NormalWeb"/>
        <w:shd w:val="clear" w:color="auto" w:fill="FFFFFF"/>
        <w:rPr>
          <w:rFonts w:asciiTheme="minorHAnsi" w:hAnsiTheme="minorHAnsi" w:cstheme="minorHAnsi"/>
          <w:i/>
          <w:iCs/>
          <w:color w:val="222222"/>
          <w:sz w:val="22"/>
          <w:szCs w:val="22"/>
        </w:rPr>
      </w:pPr>
      <w:r>
        <w:rPr>
          <w:rFonts w:asciiTheme="minorHAnsi" w:hAnsiTheme="minorHAnsi" w:cstheme="minorHAnsi"/>
          <w:b/>
          <w:bCs/>
          <w:color w:val="222222"/>
          <w:sz w:val="22"/>
          <w:szCs w:val="22"/>
        </w:rPr>
        <w:t xml:space="preserve">Answer: The proposal format </w:t>
      </w:r>
      <w:r w:rsidR="00EC05BB">
        <w:rPr>
          <w:rFonts w:asciiTheme="minorHAnsi" w:hAnsiTheme="minorHAnsi" w:cstheme="minorHAnsi"/>
          <w:b/>
          <w:bCs/>
          <w:color w:val="222222"/>
          <w:sz w:val="22"/>
          <w:szCs w:val="22"/>
        </w:rPr>
        <w:t>should generally follow the Proposal Component outline specified in the RFP</w:t>
      </w:r>
      <w:r w:rsidR="00673DA1">
        <w:rPr>
          <w:rFonts w:asciiTheme="minorHAnsi" w:hAnsiTheme="minorHAnsi" w:cstheme="minorHAnsi"/>
          <w:b/>
          <w:bCs/>
          <w:color w:val="222222"/>
          <w:sz w:val="22"/>
          <w:szCs w:val="22"/>
        </w:rPr>
        <w:t xml:space="preserve">. </w:t>
      </w:r>
      <w:r w:rsidR="00EC05BB">
        <w:rPr>
          <w:rFonts w:asciiTheme="minorHAnsi" w:hAnsiTheme="minorHAnsi" w:cstheme="minorHAnsi"/>
          <w:b/>
          <w:bCs/>
          <w:color w:val="222222"/>
          <w:sz w:val="22"/>
          <w:szCs w:val="22"/>
        </w:rPr>
        <w:t xml:space="preserve">  It is recommended that applicants review and include within the proposal responses that </w:t>
      </w:r>
      <w:r w:rsidR="00EC05BB">
        <w:rPr>
          <w:rFonts w:asciiTheme="minorHAnsi" w:hAnsiTheme="minorHAnsi" w:cstheme="minorHAnsi"/>
          <w:b/>
          <w:bCs/>
          <w:color w:val="222222"/>
          <w:sz w:val="22"/>
          <w:szCs w:val="22"/>
        </w:rPr>
        <w:lastRenderedPageBreak/>
        <w:t xml:space="preserve">address all items specified within the scoring criteria.   Applicants can </w:t>
      </w:r>
      <w:r w:rsidR="00784D40">
        <w:rPr>
          <w:rFonts w:asciiTheme="minorHAnsi" w:hAnsiTheme="minorHAnsi" w:cstheme="minorHAnsi"/>
          <w:b/>
          <w:bCs/>
          <w:color w:val="222222"/>
          <w:sz w:val="22"/>
          <w:szCs w:val="22"/>
        </w:rPr>
        <w:t>determine</w:t>
      </w:r>
      <w:r w:rsidR="00EC05BB">
        <w:rPr>
          <w:rFonts w:asciiTheme="minorHAnsi" w:hAnsiTheme="minorHAnsi" w:cstheme="minorHAnsi"/>
          <w:b/>
          <w:bCs/>
          <w:color w:val="222222"/>
          <w:sz w:val="22"/>
          <w:szCs w:val="22"/>
        </w:rPr>
        <w:t xml:space="preserve"> the most appropriate section of the proposal to address </w:t>
      </w:r>
      <w:r w:rsidR="00784D40">
        <w:rPr>
          <w:rFonts w:asciiTheme="minorHAnsi" w:hAnsiTheme="minorHAnsi" w:cstheme="minorHAnsi"/>
          <w:b/>
          <w:bCs/>
          <w:color w:val="222222"/>
          <w:sz w:val="22"/>
          <w:szCs w:val="22"/>
        </w:rPr>
        <w:t xml:space="preserve">each specified scoring criteria </w:t>
      </w:r>
      <w:r w:rsidR="00EC05BB">
        <w:rPr>
          <w:rFonts w:asciiTheme="minorHAnsi" w:hAnsiTheme="minorHAnsi" w:cstheme="minorHAnsi"/>
          <w:b/>
          <w:bCs/>
          <w:color w:val="222222"/>
          <w:sz w:val="22"/>
          <w:szCs w:val="22"/>
        </w:rPr>
        <w:t xml:space="preserve">as </w:t>
      </w:r>
      <w:r w:rsidR="00784D40">
        <w:rPr>
          <w:rFonts w:asciiTheme="minorHAnsi" w:hAnsiTheme="minorHAnsi" w:cstheme="minorHAnsi"/>
          <w:b/>
          <w:bCs/>
          <w:color w:val="222222"/>
          <w:sz w:val="22"/>
          <w:szCs w:val="22"/>
        </w:rPr>
        <w:t xml:space="preserve">it </w:t>
      </w:r>
      <w:r w:rsidR="00EC05BB">
        <w:rPr>
          <w:rFonts w:asciiTheme="minorHAnsi" w:hAnsiTheme="minorHAnsi" w:cstheme="minorHAnsi"/>
          <w:b/>
          <w:bCs/>
          <w:color w:val="222222"/>
          <w:sz w:val="22"/>
          <w:szCs w:val="22"/>
        </w:rPr>
        <w:t xml:space="preserve">fits their narrative. </w:t>
      </w:r>
    </w:p>
    <w:bookmarkEnd w:id="0"/>
    <w:p w14:paraId="70AD024F" w14:textId="77777777" w:rsidR="001C0CB3" w:rsidRDefault="001C0CB3" w:rsidP="00BD7584"/>
    <w:p w14:paraId="32261F01" w14:textId="2B29A955" w:rsidR="00BD54A0" w:rsidRDefault="00BD54A0" w:rsidP="57D77143">
      <w:pPr>
        <w:rPr>
          <w:b/>
          <w:bCs/>
          <w:u w:val="single"/>
        </w:rPr>
      </w:pPr>
      <w:r>
        <w:rPr>
          <w:b/>
          <w:bCs/>
          <w:u w:val="single"/>
        </w:rPr>
        <w:t>As of April 28, 2022:</w:t>
      </w:r>
    </w:p>
    <w:p w14:paraId="4C02DFE9" w14:textId="77777777" w:rsidR="00BD54A0" w:rsidRPr="000633BE" w:rsidRDefault="00BD54A0" w:rsidP="00BD54A0">
      <w:pPr>
        <w:pStyle w:val="m3086268514528854758msolistparagraph"/>
        <w:shd w:val="clear" w:color="auto" w:fill="FFFFFF"/>
        <w:spacing w:before="0" w:beforeAutospacing="0" w:after="0" w:afterAutospacing="0"/>
        <w:rPr>
          <w:rFonts w:asciiTheme="minorHAnsi" w:hAnsiTheme="minorHAnsi" w:cstheme="minorHAnsi"/>
          <w:i/>
          <w:iCs/>
          <w:color w:val="222222"/>
          <w:sz w:val="22"/>
          <w:szCs w:val="22"/>
        </w:rPr>
      </w:pPr>
      <w:r w:rsidRPr="000633BE">
        <w:rPr>
          <w:rFonts w:asciiTheme="minorHAnsi" w:hAnsiTheme="minorHAnsi" w:cstheme="minorHAnsi"/>
          <w:i/>
          <w:iCs/>
          <w:color w:val="222222"/>
          <w:sz w:val="22"/>
          <w:szCs w:val="22"/>
        </w:rPr>
        <w:t>For joint applications as noted on page 4 of the RFP, should one collaborative application with the information from each agency and the collaborative approach be submitted OR should each agency submit an independent application? </w:t>
      </w:r>
    </w:p>
    <w:p w14:paraId="2554D57F" w14:textId="77777777" w:rsidR="00BD54A0" w:rsidRPr="002642CE" w:rsidRDefault="00BD54A0" w:rsidP="00BD54A0">
      <w:pPr>
        <w:pStyle w:val="m3086268514528854758msolistparagraph"/>
        <w:shd w:val="clear" w:color="auto" w:fill="FFFFFF"/>
        <w:spacing w:before="0" w:beforeAutospacing="0" w:after="0" w:afterAutospacing="0"/>
        <w:rPr>
          <w:rFonts w:asciiTheme="minorHAnsi" w:hAnsiTheme="minorHAnsi" w:cstheme="minorHAnsi"/>
          <w:color w:val="222222"/>
          <w:sz w:val="22"/>
          <w:szCs w:val="22"/>
        </w:rPr>
      </w:pPr>
    </w:p>
    <w:p w14:paraId="428F3989" w14:textId="77777777" w:rsidR="00BD54A0" w:rsidRDefault="00BD54A0" w:rsidP="00BD54A0">
      <w:pPr>
        <w:pStyle w:val="m3086268514528854758msolistparagraph"/>
        <w:shd w:val="clear" w:color="auto" w:fill="FFFFFF"/>
        <w:spacing w:before="0" w:beforeAutospacing="0" w:after="0" w:afterAutospacing="0"/>
        <w:rPr>
          <w:rFonts w:asciiTheme="minorHAnsi" w:hAnsiTheme="minorHAnsi" w:cstheme="minorHAnsi"/>
          <w:b/>
          <w:bCs/>
          <w:color w:val="222222"/>
          <w:sz w:val="22"/>
          <w:szCs w:val="22"/>
        </w:rPr>
      </w:pPr>
      <w:r>
        <w:rPr>
          <w:rFonts w:asciiTheme="minorHAnsi" w:hAnsiTheme="minorHAnsi" w:cstheme="minorHAnsi"/>
          <w:b/>
          <w:bCs/>
          <w:color w:val="222222"/>
          <w:sz w:val="22"/>
          <w:szCs w:val="22"/>
        </w:rPr>
        <w:t xml:space="preserve">Answer: </w:t>
      </w:r>
      <w:r w:rsidRPr="002642CE">
        <w:rPr>
          <w:rFonts w:asciiTheme="minorHAnsi" w:hAnsiTheme="minorHAnsi" w:cstheme="minorHAnsi"/>
          <w:b/>
          <w:bCs/>
          <w:color w:val="222222"/>
          <w:sz w:val="22"/>
          <w:szCs w:val="22"/>
        </w:rPr>
        <w:t xml:space="preserve">For collaborations, one </w:t>
      </w:r>
      <w:r>
        <w:rPr>
          <w:rFonts w:asciiTheme="minorHAnsi" w:hAnsiTheme="minorHAnsi" w:cstheme="minorHAnsi"/>
          <w:b/>
          <w:bCs/>
          <w:color w:val="222222"/>
          <w:sz w:val="22"/>
          <w:szCs w:val="22"/>
        </w:rPr>
        <w:t>application</w:t>
      </w:r>
      <w:r w:rsidRPr="002642CE">
        <w:rPr>
          <w:rFonts w:asciiTheme="minorHAnsi" w:hAnsiTheme="minorHAnsi" w:cstheme="minorHAnsi"/>
          <w:b/>
          <w:bCs/>
          <w:color w:val="222222"/>
          <w:sz w:val="22"/>
          <w:szCs w:val="22"/>
        </w:rPr>
        <w:t xml:space="preserve"> can be submitted. </w:t>
      </w:r>
      <w:r w:rsidRPr="002642CE">
        <w:rPr>
          <w:rFonts w:asciiTheme="minorHAnsi" w:hAnsiTheme="minorHAnsi" w:cstheme="minorHAnsi"/>
          <w:b/>
          <w:bCs/>
          <w:sz w:val="22"/>
          <w:szCs w:val="22"/>
        </w:rPr>
        <w:t>Joint</w:t>
      </w:r>
      <w:r>
        <w:rPr>
          <w:rFonts w:asciiTheme="minorHAnsi" w:hAnsiTheme="minorHAnsi" w:cstheme="minorHAnsi"/>
          <w:b/>
          <w:bCs/>
          <w:spacing w:val="40"/>
          <w:sz w:val="22"/>
          <w:szCs w:val="22"/>
        </w:rPr>
        <w:t xml:space="preserve"> </w:t>
      </w:r>
      <w:r w:rsidRPr="002642CE">
        <w:rPr>
          <w:rFonts w:asciiTheme="minorHAnsi" w:hAnsiTheme="minorHAnsi" w:cstheme="minorHAnsi"/>
          <w:b/>
          <w:bCs/>
          <w:sz w:val="22"/>
          <w:szCs w:val="22"/>
        </w:rPr>
        <w:t>applications</w:t>
      </w:r>
      <w:r w:rsidRPr="002642CE">
        <w:rPr>
          <w:rFonts w:asciiTheme="minorHAnsi" w:hAnsiTheme="minorHAnsi" w:cstheme="minorHAnsi"/>
          <w:b/>
          <w:bCs/>
          <w:spacing w:val="-3"/>
          <w:sz w:val="22"/>
          <w:szCs w:val="22"/>
        </w:rPr>
        <w:t xml:space="preserve"> </w:t>
      </w:r>
      <w:r w:rsidRPr="002642CE">
        <w:rPr>
          <w:rFonts w:asciiTheme="minorHAnsi" w:hAnsiTheme="minorHAnsi" w:cstheme="minorHAnsi"/>
          <w:b/>
          <w:bCs/>
          <w:sz w:val="22"/>
          <w:szCs w:val="22"/>
        </w:rPr>
        <w:t>should</w:t>
      </w:r>
      <w:r w:rsidRPr="002642CE">
        <w:rPr>
          <w:rFonts w:asciiTheme="minorHAnsi" w:hAnsiTheme="minorHAnsi" w:cstheme="minorHAnsi"/>
          <w:b/>
          <w:bCs/>
          <w:spacing w:val="-2"/>
          <w:sz w:val="22"/>
          <w:szCs w:val="22"/>
        </w:rPr>
        <w:t xml:space="preserve"> </w:t>
      </w:r>
      <w:r w:rsidRPr="002642CE">
        <w:rPr>
          <w:rFonts w:asciiTheme="minorHAnsi" w:hAnsiTheme="minorHAnsi" w:cstheme="minorHAnsi"/>
          <w:b/>
          <w:bCs/>
          <w:sz w:val="22"/>
          <w:szCs w:val="22"/>
        </w:rPr>
        <w:t>submit</w:t>
      </w:r>
      <w:r w:rsidRPr="002642CE">
        <w:rPr>
          <w:rFonts w:asciiTheme="minorHAnsi" w:hAnsiTheme="minorHAnsi" w:cstheme="minorHAnsi"/>
          <w:b/>
          <w:bCs/>
          <w:spacing w:val="-1"/>
          <w:sz w:val="22"/>
          <w:szCs w:val="22"/>
        </w:rPr>
        <w:t xml:space="preserve"> </w:t>
      </w:r>
      <w:r w:rsidRPr="002642CE">
        <w:rPr>
          <w:rFonts w:asciiTheme="minorHAnsi" w:hAnsiTheme="minorHAnsi" w:cstheme="minorHAnsi"/>
          <w:b/>
          <w:bCs/>
          <w:sz w:val="22"/>
          <w:szCs w:val="22"/>
        </w:rPr>
        <w:t>an</w:t>
      </w:r>
      <w:r w:rsidRPr="002642CE">
        <w:rPr>
          <w:rFonts w:asciiTheme="minorHAnsi" w:hAnsiTheme="minorHAnsi" w:cstheme="minorHAnsi"/>
          <w:b/>
          <w:bCs/>
          <w:spacing w:val="-2"/>
          <w:sz w:val="22"/>
          <w:szCs w:val="22"/>
        </w:rPr>
        <w:t xml:space="preserve"> </w:t>
      </w:r>
      <w:r w:rsidRPr="002642CE">
        <w:rPr>
          <w:rFonts w:asciiTheme="minorHAnsi" w:hAnsiTheme="minorHAnsi" w:cstheme="minorHAnsi"/>
          <w:b/>
          <w:bCs/>
          <w:sz w:val="22"/>
          <w:szCs w:val="22"/>
        </w:rPr>
        <w:t>MOU</w:t>
      </w:r>
      <w:r w:rsidRPr="002642CE">
        <w:rPr>
          <w:rFonts w:asciiTheme="minorHAnsi" w:hAnsiTheme="minorHAnsi" w:cstheme="minorHAnsi"/>
          <w:b/>
          <w:bCs/>
          <w:spacing w:val="-5"/>
          <w:sz w:val="22"/>
          <w:szCs w:val="22"/>
        </w:rPr>
        <w:t xml:space="preserve"> </w:t>
      </w:r>
      <w:r w:rsidRPr="002642CE">
        <w:rPr>
          <w:rFonts w:asciiTheme="minorHAnsi" w:hAnsiTheme="minorHAnsi" w:cstheme="minorHAnsi"/>
          <w:b/>
          <w:bCs/>
          <w:sz w:val="22"/>
          <w:szCs w:val="22"/>
        </w:rPr>
        <w:t>reflecting</w:t>
      </w:r>
      <w:r w:rsidRPr="002642CE">
        <w:rPr>
          <w:rFonts w:asciiTheme="minorHAnsi" w:hAnsiTheme="minorHAnsi" w:cstheme="minorHAnsi"/>
          <w:b/>
          <w:bCs/>
          <w:spacing w:val="-5"/>
          <w:sz w:val="22"/>
          <w:szCs w:val="22"/>
        </w:rPr>
        <w:t xml:space="preserve"> </w:t>
      </w:r>
      <w:r w:rsidRPr="002642CE">
        <w:rPr>
          <w:rFonts w:asciiTheme="minorHAnsi" w:hAnsiTheme="minorHAnsi" w:cstheme="minorHAnsi"/>
          <w:b/>
          <w:bCs/>
          <w:sz w:val="22"/>
          <w:szCs w:val="22"/>
        </w:rPr>
        <w:t>the</w:t>
      </w:r>
      <w:r w:rsidRPr="002642CE">
        <w:rPr>
          <w:rFonts w:asciiTheme="minorHAnsi" w:hAnsiTheme="minorHAnsi" w:cstheme="minorHAnsi"/>
          <w:b/>
          <w:bCs/>
          <w:spacing w:val="-2"/>
          <w:sz w:val="22"/>
          <w:szCs w:val="22"/>
        </w:rPr>
        <w:t xml:space="preserve"> </w:t>
      </w:r>
      <w:r w:rsidRPr="002642CE">
        <w:rPr>
          <w:rFonts w:asciiTheme="minorHAnsi" w:hAnsiTheme="minorHAnsi" w:cstheme="minorHAnsi"/>
          <w:b/>
          <w:bCs/>
          <w:sz w:val="22"/>
          <w:szCs w:val="22"/>
        </w:rPr>
        <w:t>role</w:t>
      </w:r>
      <w:r w:rsidRPr="002642CE">
        <w:rPr>
          <w:rFonts w:asciiTheme="minorHAnsi" w:hAnsiTheme="minorHAnsi" w:cstheme="minorHAnsi"/>
          <w:b/>
          <w:bCs/>
          <w:spacing w:val="-4"/>
          <w:sz w:val="22"/>
          <w:szCs w:val="22"/>
        </w:rPr>
        <w:t xml:space="preserve"> </w:t>
      </w:r>
      <w:r w:rsidRPr="002642CE">
        <w:rPr>
          <w:rFonts w:asciiTheme="minorHAnsi" w:hAnsiTheme="minorHAnsi" w:cstheme="minorHAnsi"/>
          <w:b/>
          <w:bCs/>
          <w:sz w:val="22"/>
          <w:szCs w:val="22"/>
        </w:rPr>
        <w:t>of</w:t>
      </w:r>
      <w:r w:rsidRPr="002642CE">
        <w:rPr>
          <w:rFonts w:asciiTheme="minorHAnsi" w:hAnsiTheme="minorHAnsi" w:cstheme="minorHAnsi"/>
          <w:b/>
          <w:bCs/>
          <w:spacing w:val="-4"/>
          <w:sz w:val="22"/>
          <w:szCs w:val="22"/>
        </w:rPr>
        <w:t xml:space="preserve"> </w:t>
      </w:r>
      <w:r w:rsidRPr="002642CE">
        <w:rPr>
          <w:rFonts w:asciiTheme="minorHAnsi" w:hAnsiTheme="minorHAnsi" w:cstheme="minorHAnsi"/>
          <w:b/>
          <w:bCs/>
          <w:sz w:val="22"/>
          <w:szCs w:val="22"/>
        </w:rPr>
        <w:t>project</w:t>
      </w:r>
      <w:r w:rsidRPr="002642CE">
        <w:rPr>
          <w:rFonts w:asciiTheme="minorHAnsi" w:hAnsiTheme="minorHAnsi" w:cstheme="minorHAnsi"/>
          <w:b/>
          <w:bCs/>
          <w:spacing w:val="-4"/>
          <w:sz w:val="22"/>
          <w:szCs w:val="22"/>
        </w:rPr>
        <w:t xml:space="preserve"> </w:t>
      </w:r>
      <w:r w:rsidRPr="002642CE">
        <w:rPr>
          <w:rFonts w:asciiTheme="minorHAnsi" w:hAnsiTheme="minorHAnsi" w:cstheme="minorHAnsi"/>
          <w:b/>
          <w:bCs/>
          <w:sz w:val="22"/>
          <w:szCs w:val="22"/>
        </w:rPr>
        <w:t>partners and</w:t>
      </w:r>
      <w:r w:rsidRPr="002642CE">
        <w:rPr>
          <w:rFonts w:asciiTheme="minorHAnsi" w:hAnsiTheme="minorHAnsi" w:cstheme="minorHAnsi"/>
          <w:b/>
          <w:bCs/>
          <w:spacing w:val="-4"/>
          <w:sz w:val="22"/>
          <w:szCs w:val="22"/>
        </w:rPr>
        <w:t xml:space="preserve"> </w:t>
      </w:r>
      <w:r w:rsidRPr="002642CE">
        <w:rPr>
          <w:rFonts w:asciiTheme="minorHAnsi" w:hAnsiTheme="minorHAnsi" w:cstheme="minorHAnsi"/>
          <w:b/>
          <w:bCs/>
          <w:sz w:val="22"/>
          <w:szCs w:val="22"/>
        </w:rPr>
        <w:t>specify</w:t>
      </w:r>
      <w:r w:rsidRPr="002642CE">
        <w:rPr>
          <w:rFonts w:asciiTheme="minorHAnsi" w:hAnsiTheme="minorHAnsi" w:cstheme="minorHAnsi"/>
          <w:b/>
          <w:bCs/>
          <w:spacing w:val="-3"/>
          <w:sz w:val="22"/>
          <w:szCs w:val="22"/>
        </w:rPr>
        <w:t xml:space="preserve"> </w:t>
      </w:r>
      <w:r w:rsidRPr="002642CE">
        <w:rPr>
          <w:rFonts w:asciiTheme="minorHAnsi" w:hAnsiTheme="minorHAnsi" w:cstheme="minorHAnsi"/>
          <w:b/>
          <w:bCs/>
          <w:sz w:val="22"/>
          <w:szCs w:val="22"/>
        </w:rPr>
        <w:t>funding for each organization in the detailed budget.</w:t>
      </w:r>
    </w:p>
    <w:p w14:paraId="0B9F12CA" w14:textId="77777777" w:rsidR="00BD54A0" w:rsidRDefault="00BD54A0" w:rsidP="00BD54A0">
      <w:pPr>
        <w:pStyle w:val="m3086268514528854758msolistparagraph"/>
        <w:shd w:val="clear" w:color="auto" w:fill="FFFFFF"/>
        <w:spacing w:before="0" w:beforeAutospacing="0" w:after="0" w:afterAutospacing="0"/>
        <w:rPr>
          <w:rFonts w:asciiTheme="minorHAnsi" w:hAnsiTheme="minorHAnsi" w:cstheme="minorHAnsi"/>
          <w:b/>
          <w:bCs/>
          <w:color w:val="222222"/>
          <w:sz w:val="22"/>
          <w:szCs w:val="22"/>
        </w:rPr>
      </w:pPr>
    </w:p>
    <w:p w14:paraId="70A096F0" w14:textId="77777777" w:rsidR="00BD54A0" w:rsidRDefault="00BD54A0" w:rsidP="00BD54A0">
      <w:pPr>
        <w:pStyle w:val="m3086268514528854758msolistparagraph"/>
        <w:shd w:val="clear" w:color="auto" w:fill="FFFFFF"/>
        <w:spacing w:before="0" w:beforeAutospacing="0" w:after="0" w:afterAutospacing="0"/>
        <w:rPr>
          <w:rFonts w:asciiTheme="minorHAnsi" w:hAnsiTheme="minorHAnsi" w:cstheme="minorHAnsi"/>
          <w:i/>
          <w:iCs/>
          <w:color w:val="222222"/>
          <w:sz w:val="22"/>
          <w:szCs w:val="22"/>
        </w:rPr>
      </w:pPr>
    </w:p>
    <w:p w14:paraId="5BCB60EF" w14:textId="77777777" w:rsidR="00BD54A0" w:rsidRPr="000633BE" w:rsidRDefault="00BD54A0" w:rsidP="00BD54A0">
      <w:pPr>
        <w:pStyle w:val="m3086268514528854758msolistparagraph"/>
        <w:shd w:val="clear" w:color="auto" w:fill="FFFFFF"/>
        <w:spacing w:before="0" w:beforeAutospacing="0" w:after="0" w:afterAutospacing="0"/>
        <w:rPr>
          <w:rFonts w:asciiTheme="minorHAnsi" w:hAnsiTheme="minorHAnsi" w:cstheme="minorHAnsi"/>
          <w:b/>
          <w:bCs/>
          <w:i/>
          <w:iCs/>
          <w:color w:val="222222"/>
          <w:sz w:val="22"/>
          <w:szCs w:val="22"/>
        </w:rPr>
      </w:pPr>
      <w:r w:rsidRPr="000633BE">
        <w:rPr>
          <w:rFonts w:asciiTheme="minorHAnsi" w:hAnsiTheme="minorHAnsi" w:cstheme="minorHAnsi"/>
          <w:i/>
          <w:iCs/>
          <w:color w:val="222222"/>
          <w:sz w:val="22"/>
          <w:szCs w:val="22"/>
        </w:rPr>
        <w:t>Can you clarify what “utilize the Lincoln Prevention Assistance Common Fund” means regarding the special considerations for Rapid Response Assistance projects?</w:t>
      </w:r>
    </w:p>
    <w:p w14:paraId="24529275" w14:textId="77777777" w:rsidR="00BD54A0" w:rsidRPr="002642CE" w:rsidRDefault="00BD54A0" w:rsidP="00BD54A0">
      <w:pPr>
        <w:pStyle w:val="m3086268514528854758msolistparagraph"/>
        <w:shd w:val="clear" w:color="auto" w:fill="FFFFFF"/>
        <w:spacing w:before="0" w:beforeAutospacing="0" w:after="0" w:afterAutospacing="0"/>
        <w:rPr>
          <w:rFonts w:asciiTheme="minorHAnsi" w:hAnsiTheme="minorHAnsi" w:cstheme="minorHAnsi"/>
          <w:color w:val="222222"/>
          <w:sz w:val="22"/>
          <w:szCs w:val="22"/>
        </w:rPr>
      </w:pPr>
    </w:p>
    <w:p w14:paraId="0EC95FFC" w14:textId="77777777" w:rsidR="00BD54A0" w:rsidRPr="00450CFE" w:rsidRDefault="00BD54A0" w:rsidP="00BD54A0">
      <w:pPr>
        <w:pStyle w:val="m3086268514528854758msolistparagraph"/>
        <w:shd w:val="clear" w:color="auto" w:fill="FFFFFF"/>
        <w:spacing w:before="0" w:beforeAutospacing="0" w:after="0" w:afterAutospacing="0"/>
        <w:rPr>
          <w:rStyle w:val="normaltextrun"/>
          <w:rFonts w:asciiTheme="minorHAnsi" w:eastAsiaTheme="majorEastAsia" w:hAnsiTheme="minorHAnsi" w:cstheme="minorHAnsi"/>
          <w:b/>
          <w:bCs/>
          <w:color w:val="000000"/>
          <w:sz w:val="22"/>
          <w:szCs w:val="22"/>
          <w:shd w:val="clear" w:color="auto" w:fill="FFFFFF"/>
        </w:rPr>
      </w:pPr>
      <w:r>
        <w:rPr>
          <w:rStyle w:val="normaltextrun"/>
          <w:rFonts w:asciiTheme="minorHAnsi" w:eastAsiaTheme="majorEastAsia" w:hAnsiTheme="minorHAnsi" w:cstheme="minorHAnsi"/>
          <w:b/>
          <w:bCs/>
          <w:color w:val="000000"/>
          <w:sz w:val="22"/>
          <w:szCs w:val="22"/>
          <w:shd w:val="clear" w:color="auto" w:fill="FFFFFF"/>
        </w:rPr>
        <w:t xml:space="preserve">Answer: </w:t>
      </w:r>
      <w:r w:rsidRPr="00450CFE">
        <w:rPr>
          <w:rStyle w:val="normaltextrun"/>
          <w:rFonts w:asciiTheme="minorHAnsi" w:eastAsiaTheme="majorEastAsia" w:hAnsiTheme="minorHAnsi" w:cstheme="minorHAnsi"/>
          <w:b/>
          <w:bCs/>
          <w:color w:val="000000"/>
          <w:sz w:val="22"/>
          <w:szCs w:val="22"/>
          <w:shd w:val="clear" w:color="auto" w:fill="FFFFFF"/>
        </w:rPr>
        <w:t xml:space="preserve">The Lincoln Prevention Assistance Common Fund </w:t>
      </w:r>
      <w:r w:rsidRPr="00450CFE">
        <w:rPr>
          <w:rStyle w:val="normaltextrun"/>
          <w:rFonts w:ascii="Calibri" w:eastAsiaTheme="majorEastAsia" w:hAnsi="Calibri" w:cs="Calibri"/>
          <w:b/>
          <w:bCs/>
          <w:color w:val="000000"/>
          <w:sz w:val="22"/>
          <w:szCs w:val="22"/>
          <w:shd w:val="clear" w:color="auto" w:fill="FFFFFF"/>
        </w:rPr>
        <w:t xml:space="preserve">is a coordinated, citywide response that provides rent, mortgage, utility, and other needed financial assistance to households in need to prevent homelessness and increase housing stability. Proposals should align with the community plan and propose how projects would align Rapid Response Assistance with the common fund model established for the City of Lincoln. </w:t>
      </w:r>
    </w:p>
    <w:p w14:paraId="5E73F2FA" w14:textId="77777777" w:rsidR="00BD54A0" w:rsidRDefault="00BD54A0" w:rsidP="00BD54A0">
      <w:pPr>
        <w:pStyle w:val="m3086268514528854758msolistparagraph"/>
        <w:shd w:val="clear" w:color="auto" w:fill="FFFFFF"/>
        <w:spacing w:before="0" w:beforeAutospacing="0" w:after="0" w:afterAutospacing="0"/>
        <w:rPr>
          <w:rStyle w:val="normaltextrun"/>
          <w:rFonts w:asciiTheme="minorHAnsi" w:eastAsiaTheme="majorEastAsia" w:hAnsiTheme="minorHAnsi" w:cstheme="minorHAnsi"/>
          <w:b/>
          <w:bCs/>
          <w:i/>
          <w:iCs/>
          <w:color w:val="000000"/>
          <w:sz w:val="22"/>
          <w:szCs w:val="22"/>
          <w:shd w:val="clear" w:color="auto" w:fill="FFFFFF"/>
        </w:rPr>
      </w:pPr>
    </w:p>
    <w:p w14:paraId="213D5603" w14:textId="29C30D28" w:rsidR="00BD54A0" w:rsidRDefault="00BD54A0" w:rsidP="00BD54A0">
      <w:pPr>
        <w:pStyle w:val="m3086268514528854758msolistparagraph"/>
        <w:shd w:val="clear" w:color="auto" w:fill="FFFFFF"/>
        <w:spacing w:before="0" w:beforeAutospacing="0" w:after="0" w:afterAutospacing="0"/>
        <w:rPr>
          <w:rFonts w:asciiTheme="minorHAnsi" w:hAnsiTheme="minorHAnsi" w:cstheme="minorHAnsi"/>
          <w:b/>
          <w:bCs/>
          <w:color w:val="222222"/>
          <w:sz w:val="22"/>
          <w:szCs w:val="22"/>
        </w:rPr>
      </w:pPr>
      <w:r w:rsidRPr="00BD54A0">
        <w:rPr>
          <w:rFonts w:asciiTheme="minorHAnsi" w:hAnsiTheme="minorHAnsi" w:cstheme="minorHAnsi"/>
          <w:b/>
          <w:bCs/>
          <w:color w:val="222222"/>
          <w:sz w:val="22"/>
          <w:szCs w:val="22"/>
        </w:rPr>
        <w:t xml:space="preserve">More information about LPAC can be found here: </w:t>
      </w:r>
      <w:hyperlink r:id="rId8" w:history="1">
        <w:r w:rsidRPr="00FC6DBF">
          <w:rPr>
            <w:rStyle w:val="Hyperlink"/>
            <w:rFonts w:asciiTheme="minorHAnsi" w:hAnsiTheme="minorHAnsi" w:cstheme="minorHAnsi"/>
            <w:b/>
            <w:bCs/>
            <w:sz w:val="22"/>
            <w:szCs w:val="22"/>
          </w:rPr>
          <w:t>https://www.lincoln.ne.gov/City/Departments/Urban-Development/Housing</w:t>
        </w:r>
      </w:hyperlink>
      <w:r>
        <w:rPr>
          <w:rFonts w:asciiTheme="minorHAnsi" w:hAnsiTheme="minorHAnsi" w:cstheme="minorHAnsi"/>
          <w:b/>
          <w:bCs/>
          <w:color w:val="222222"/>
          <w:sz w:val="22"/>
          <w:szCs w:val="22"/>
        </w:rPr>
        <w:t xml:space="preserve"> </w:t>
      </w:r>
    </w:p>
    <w:p w14:paraId="3ADC896E" w14:textId="77777777" w:rsidR="00BD54A0" w:rsidRPr="00BD54A0" w:rsidRDefault="00BD54A0" w:rsidP="00BD54A0">
      <w:pPr>
        <w:pStyle w:val="m3086268514528854758msolistparagraph"/>
        <w:shd w:val="clear" w:color="auto" w:fill="FFFFFF"/>
        <w:spacing w:before="0" w:beforeAutospacing="0" w:after="0" w:afterAutospacing="0"/>
        <w:rPr>
          <w:rFonts w:asciiTheme="minorHAnsi" w:hAnsiTheme="minorHAnsi" w:cstheme="minorHAnsi"/>
          <w:b/>
          <w:bCs/>
          <w:color w:val="222222"/>
          <w:sz w:val="22"/>
          <w:szCs w:val="22"/>
        </w:rPr>
      </w:pPr>
    </w:p>
    <w:p w14:paraId="491967DD" w14:textId="77777777" w:rsidR="00BD54A0" w:rsidRPr="002642CE" w:rsidRDefault="00BD54A0" w:rsidP="00BD54A0">
      <w:pPr>
        <w:pStyle w:val="m3086268514528854758msolistparagraph"/>
        <w:shd w:val="clear" w:color="auto" w:fill="FFFFFF"/>
        <w:spacing w:before="0" w:beforeAutospacing="0" w:after="0" w:afterAutospacing="0"/>
        <w:rPr>
          <w:rFonts w:asciiTheme="minorHAnsi" w:hAnsiTheme="minorHAnsi" w:cstheme="minorHAnsi"/>
          <w:color w:val="222222"/>
          <w:sz w:val="22"/>
          <w:szCs w:val="22"/>
        </w:rPr>
      </w:pPr>
    </w:p>
    <w:p w14:paraId="6EB25AA8" w14:textId="77777777" w:rsidR="00BD54A0" w:rsidRPr="000633BE" w:rsidRDefault="00BD54A0" w:rsidP="00BD54A0">
      <w:pPr>
        <w:pStyle w:val="m3086268514528854758msolistparagraph"/>
        <w:shd w:val="clear" w:color="auto" w:fill="FFFFFF"/>
        <w:spacing w:before="0" w:beforeAutospacing="0" w:after="0" w:afterAutospacing="0"/>
        <w:rPr>
          <w:rFonts w:asciiTheme="minorHAnsi" w:hAnsiTheme="minorHAnsi" w:cstheme="minorHAnsi"/>
          <w:i/>
          <w:iCs/>
          <w:color w:val="222222"/>
          <w:sz w:val="22"/>
          <w:szCs w:val="22"/>
          <w:shd w:val="clear" w:color="auto" w:fill="FFFFFF"/>
        </w:rPr>
      </w:pPr>
      <w:r w:rsidRPr="000633BE">
        <w:rPr>
          <w:rFonts w:asciiTheme="minorHAnsi" w:hAnsiTheme="minorHAnsi" w:cstheme="minorHAnsi"/>
          <w:i/>
          <w:iCs/>
          <w:color w:val="222222"/>
          <w:sz w:val="22"/>
          <w:szCs w:val="22"/>
          <w:shd w:val="clear" w:color="auto" w:fill="FFFFFF"/>
        </w:rPr>
        <w:t>Is there a supportive service cap (</w:t>
      </w:r>
      <w:proofErr w:type="gramStart"/>
      <w:r w:rsidRPr="000633BE">
        <w:rPr>
          <w:rFonts w:asciiTheme="minorHAnsi" w:hAnsiTheme="minorHAnsi" w:cstheme="minorHAnsi"/>
          <w:i/>
          <w:iCs/>
          <w:color w:val="222222"/>
          <w:sz w:val="22"/>
          <w:szCs w:val="22"/>
          <w:shd w:val="clear" w:color="auto" w:fill="FFFFFF"/>
        </w:rPr>
        <w:t>e.g.</w:t>
      </w:r>
      <w:proofErr w:type="gramEnd"/>
      <w:r w:rsidRPr="000633BE">
        <w:rPr>
          <w:rFonts w:asciiTheme="minorHAnsi" w:hAnsiTheme="minorHAnsi" w:cstheme="minorHAnsi"/>
          <w:i/>
          <w:iCs/>
          <w:color w:val="222222"/>
          <w:sz w:val="22"/>
          <w:szCs w:val="22"/>
          <w:shd w:val="clear" w:color="auto" w:fill="FFFFFF"/>
        </w:rPr>
        <w:t xml:space="preserve"> 20%) for permanent supportive housing projects?</w:t>
      </w:r>
    </w:p>
    <w:p w14:paraId="4B4CC2E9" w14:textId="77777777" w:rsidR="00BD54A0" w:rsidRPr="002642CE" w:rsidRDefault="00BD54A0" w:rsidP="00BD54A0">
      <w:pPr>
        <w:pStyle w:val="m3086268514528854758msolistparagraph"/>
        <w:shd w:val="clear" w:color="auto" w:fill="FFFFFF"/>
        <w:spacing w:before="0" w:beforeAutospacing="0" w:after="0" w:afterAutospacing="0"/>
        <w:rPr>
          <w:rFonts w:asciiTheme="minorHAnsi" w:hAnsiTheme="minorHAnsi" w:cstheme="minorHAnsi"/>
          <w:color w:val="222222"/>
          <w:sz w:val="22"/>
          <w:szCs w:val="22"/>
          <w:shd w:val="clear" w:color="auto" w:fill="FFFFFF"/>
        </w:rPr>
      </w:pPr>
    </w:p>
    <w:p w14:paraId="5ADE436D" w14:textId="77777777" w:rsidR="00BD54A0" w:rsidRPr="002642CE" w:rsidRDefault="00BD54A0" w:rsidP="00BD54A0">
      <w:pPr>
        <w:pStyle w:val="m3086268514528854758msolistparagraph"/>
        <w:shd w:val="clear" w:color="auto" w:fill="FFFFFF"/>
        <w:spacing w:before="0" w:beforeAutospacing="0" w:after="0" w:afterAutospacing="0"/>
        <w:rPr>
          <w:rFonts w:asciiTheme="minorHAnsi" w:hAnsiTheme="minorHAnsi" w:cstheme="minorHAnsi"/>
          <w:b/>
          <w:bCs/>
          <w:color w:val="222222"/>
          <w:sz w:val="22"/>
          <w:szCs w:val="22"/>
        </w:rPr>
      </w:pPr>
      <w:r w:rsidRPr="002642CE">
        <w:rPr>
          <w:rFonts w:asciiTheme="minorHAnsi" w:hAnsiTheme="minorHAnsi" w:cstheme="minorHAnsi"/>
          <w:b/>
          <w:bCs/>
          <w:color w:val="222222"/>
          <w:sz w:val="22"/>
          <w:szCs w:val="22"/>
          <w:shd w:val="clear" w:color="auto" w:fill="FFFFFF"/>
        </w:rPr>
        <w:t xml:space="preserve">Answer: No, there is no supportive service cap for YHDP funded projects. </w:t>
      </w:r>
    </w:p>
    <w:p w14:paraId="1BCDA430" w14:textId="77777777" w:rsidR="00BD54A0" w:rsidRDefault="00BD54A0" w:rsidP="00BD54A0">
      <w:pPr>
        <w:rPr>
          <w:rFonts w:cstheme="minorHAnsi"/>
        </w:rPr>
      </w:pPr>
    </w:p>
    <w:p w14:paraId="3B207505" w14:textId="77777777" w:rsidR="00BD54A0" w:rsidRPr="002642CE" w:rsidRDefault="00BD54A0" w:rsidP="00BD54A0">
      <w:pPr>
        <w:rPr>
          <w:rFonts w:cstheme="minorHAnsi"/>
        </w:rPr>
      </w:pPr>
    </w:p>
    <w:p w14:paraId="67360167" w14:textId="77777777" w:rsidR="00BD54A0" w:rsidRPr="000633BE" w:rsidRDefault="00BD54A0" w:rsidP="00BD54A0">
      <w:pPr>
        <w:rPr>
          <w:rFonts w:cstheme="minorHAnsi"/>
          <w:i/>
          <w:iCs/>
          <w:color w:val="222222"/>
          <w:shd w:val="clear" w:color="auto" w:fill="FFFFFF"/>
        </w:rPr>
      </w:pPr>
      <w:r w:rsidRPr="000633BE">
        <w:rPr>
          <w:rFonts w:cstheme="minorHAnsi"/>
          <w:i/>
          <w:iCs/>
          <w:color w:val="222222"/>
          <w:shd w:val="clear" w:color="auto" w:fill="FFFFFF"/>
        </w:rPr>
        <w:t>Is it allowable to include a web/video link within the proposal?</w:t>
      </w:r>
    </w:p>
    <w:p w14:paraId="1DE0BC4A" w14:textId="77777777" w:rsidR="00BD54A0" w:rsidRDefault="00BD54A0" w:rsidP="00BD54A0">
      <w:pPr>
        <w:rPr>
          <w:rFonts w:cstheme="minorHAnsi"/>
          <w:b/>
          <w:bCs/>
          <w:color w:val="222222"/>
          <w:shd w:val="clear" w:color="auto" w:fill="FFFFFF"/>
        </w:rPr>
      </w:pPr>
      <w:r w:rsidRPr="002642CE">
        <w:rPr>
          <w:rFonts w:cstheme="minorHAnsi"/>
          <w:b/>
          <w:bCs/>
          <w:color w:val="222222"/>
          <w:shd w:val="clear" w:color="auto" w:fill="FFFFFF"/>
        </w:rPr>
        <w:t xml:space="preserve">Answer: </w:t>
      </w:r>
      <w:r>
        <w:rPr>
          <w:rFonts w:cstheme="minorHAnsi"/>
          <w:b/>
          <w:bCs/>
          <w:color w:val="222222"/>
          <w:shd w:val="clear" w:color="auto" w:fill="FFFFFF"/>
        </w:rPr>
        <w:t xml:space="preserve">Responses should be limited to narratives meeting the </w:t>
      </w:r>
      <w:r w:rsidRPr="002642CE">
        <w:rPr>
          <w:rFonts w:cstheme="minorHAnsi"/>
          <w:b/>
          <w:bCs/>
          <w:color w:val="222222"/>
          <w:shd w:val="clear" w:color="auto" w:fill="FFFFFF"/>
        </w:rPr>
        <w:t xml:space="preserve">required format of 15 pages, single spaced at 12. </w:t>
      </w:r>
      <w:proofErr w:type="spellStart"/>
      <w:r w:rsidRPr="002642CE">
        <w:rPr>
          <w:rFonts w:cstheme="minorHAnsi"/>
          <w:b/>
          <w:bCs/>
          <w:color w:val="222222"/>
          <w:shd w:val="clear" w:color="auto" w:fill="FFFFFF"/>
        </w:rPr>
        <w:t>pt</w:t>
      </w:r>
      <w:proofErr w:type="spellEnd"/>
      <w:r w:rsidRPr="002642CE">
        <w:rPr>
          <w:rFonts w:cstheme="minorHAnsi"/>
          <w:b/>
          <w:bCs/>
          <w:color w:val="222222"/>
          <w:shd w:val="clear" w:color="auto" w:fill="FFFFFF"/>
        </w:rPr>
        <w:t xml:space="preserve"> font. </w:t>
      </w:r>
    </w:p>
    <w:p w14:paraId="51A41DA0" w14:textId="77777777" w:rsidR="00BD54A0" w:rsidRDefault="00BD54A0" w:rsidP="00BD54A0">
      <w:pPr>
        <w:rPr>
          <w:rFonts w:cstheme="minorHAnsi"/>
          <w:b/>
          <w:bCs/>
          <w:color w:val="222222"/>
          <w:shd w:val="clear" w:color="auto" w:fill="FFFFFF"/>
        </w:rPr>
      </w:pPr>
    </w:p>
    <w:p w14:paraId="20116C8D" w14:textId="77777777" w:rsidR="00BD54A0" w:rsidRPr="000633BE" w:rsidRDefault="00BD54A0" w:rsidP="00BD54A0">
      <w:pPr>
        <w:rPr>
          <w:rFonts w:ascii="Calibri" w:hAnsi="Calibri" w:cs="Calibri"/>
          <w:i/>
          <w:iCs/>
          <w:color w:val="000000"/>
          <w:shd w:val="clear" w:color="auto" w:fill="FFFFFF"/>
        </w:rPr>
      </w:pPr>
      <w:r w:rsidRPr="000633BE">
        <w:rPr>
          <w:rFonts w:ascii="Calibri" w:hAnsi="Calibri" w:cs="Calibri"/>
          <w:i/>
          <w:iCs/>
          <w:color w:val="000000"/>
          <w:shd w:val="clear" w:color="auto" w:fill="FFFFFF"/>
        </w:rPr>
        <w:t>I would like to try to clarify the ages to be served in PSH, the community plan indicates 19-24 but the RFP states, youth experiencing homelessness ages 18-24.</w:t>
      </w:r>
    </w:p>
    <w:p w14:paraId="577E2680" w14:textId="77777777" w:rsidR="00BD54A0" w:rsidRDefault="00BD54A0" w:rsidP="00BD54A0">
      <w:pPr>
        <w:rPr>
          <w:rStyle w:val="markedcontent"/>
          <w:rFonts w:cstheme="minorHAnsi"/>
          <w:b/>
          <w:bCs/>
        </w:rPr>
      </w:pPr>
      <w:r>
        <w:rPr>
          <w:rStyle w:val="markedcontent"/>
          <w:rFonts w:cstheme="minorHAnsi"/>
          <w:b/>
          <w:bCs/>
        </w:rPr>
        <w:t xml:space="preserve">Answer: Clarification on ages- </w:t>
      </w:r>
      <w:r w:rsidRPr="000633BE">
        <w:rPr>
          <w:rStyle w:val="markedcontent"/>
          <w:rFonts w:cstheme="minorHAnsi"/>
          <w:b/>
          <w:bCs/>
        </w:rPr>
        <w:t>Youth Homelessness Demonstration Project (YHDP) can serve</w:t>
      </w:r>
      <w:r w:rsidRPr="000633BE">
        <w:rPr>
          <w:rFonts w:cstheme="minorHAnsi"/>
          <w:b/>
          <w:bCs/>
        </w:rPr>
        <w:t xml:space="preserve"> </w:t>
      </w:r>
      <w:r w:rsidRPr="000633BE">
        <w:rPr>
          <w:rStyle w:val="markedcontent"/>
          <w:rFonts w:cstheme="minorHAnsi"/>
          <w:b/>
          <w:bCs/>
        </w:rPr>
        <w:t>unaccompanied youth up to the age of 24, including pregnant and parenting youth, who meet Category 1, 2, OR</w:t>
      </w:r>
      <w:r w:rsidRPr="000633BE">
        <w:rPr>
          <w:rFonts w:cstheme="minorHAnsi"/>
          <w:b/>
          <w:bCs/>
        </w:rPr>
        <w:t xml:space="preserve"> </w:t>
      </w:r>
      <w:r w:rsidRPr="000633BE">
        <w:rPr>
          <w:rStyle w:val="markedcontent"/>
          <w:rFonts w:cstheme="minorHAnsi"/>
          <w:b/>
          <w:bCs/>
        </w:rPr>
        <w:t>4 of homelessness in HUD’s Final Definition of Homeless.</w:t>
      </w:r>
    </w:p>
    <w:p w14:paraId="1D97EF11" w14:textId="77777777" w:rsidR="00BD54A0" w:rsidRPr="000633BE" w:rsidRDefault="00BD54A0" w:rsidP="00BD54A0">
      <w:pPr>
        <w:rPr>
          <w:rFonts w:cstheme="minorHAnsi"/>
          <w:b/>
          <w:bCs/>
        </w:rPr>
      </w:pPr>
      <w:r>
        <w:rPr>
          <w:rStyle w:val="markedcontent"/>
          <w:rFonts w:cstheme="minorHAnsi"/>
          <w:b/>
          <w:bCs/>
        </w:rPr>
        <w:lastRenderedPageBreak/>
        <w:t xml:space="preserve">More information on determining the homeless status of youth can be found here: </w:t>
      </w:r>
      <w:hyperlink r:id="rId9" w:history="1">
        <w:r w:rsidRPr="007447AC">
          <w:rPr>
            <w:rStyle w:val="Hyperlink"/>
            <w:rFonts w:cstheme="minorHAnsi"/>
            <w:b/>
            <w:bCs/>
          </w:rPr>
          <w:t>https://files.hudexchange.info/resources/documents/Determining-Homeless-Status-of-Youth.pdf</w:t>
        </w:r>
      </w:hyperlink>
      <w:r>
        <w:rPr>
          <w:rStyle w:val="markedcontent"/>
          <w:rFonts w:cstheme="minorHAnsi"/>
          <w:b/>
          <w:bCs/>
        </w:rPr>
        <w:t xml:space="preserve"> </w:t>
      </w:r>
    </w:p>
    <w:p w14:paraId="7851F891" w14:textId="77777777" w:rsidR="00BD54A0" w:rsidRDefault="00BD54A0" w:rsidP="57D77143">
      <w:pPr>
        <w:rPr>
          <w:b/>
          <w:bCs/>
          <w:u w:val="single"/>
        </w:rPr>
      </w:pPr>
    </w:p>
    <w:p w14:paraId="3755E42A" w14:textId="30A48243" w:rsidR="00C72906" w:rsidRPr="00553ACA" w:rsidRDefault="00C72906" w:rsidP="57D77143">
      <w:pPr>
        <w:rPr>
          <w:b/>
          <w:bCs/>
          <w:u w:val="single"/>
        </w:rPr>
      </w:pPr>
      <w:r w:rsidRPr="00553ACA">
        <w:rPr>
          <w:b/>
          <w:bCs/>
          <w:u w:val="single"/>
        </w:rPr>
        <w:t>As of April 21, 2022:</w:t>
      </w:r>
    </w:p>
    <w:p w14:paraId="2ABABFF7" w14:textId="3B2DE902" w:rsidR="00C72906" w:rsidRPr="00553ACA" w:rsidRDefault="00C72906" w:rsidP="00C72906">
      <w:pPr>
        <w:shd w:val="clear" w:color="auto" w:fill="FFFFFF"/>
        <w:spacing w:after="0" w:line="240" w:lineRule="auto"/>
        <w:rPr>
          <w:rFonts w:eastAsia="Times New Roman" w:cstheme="minorHAnsi"/>
          <w:i/>
          <w:iCs/>
          <w:color w:val="222222"/>
        </w:rPr>
      </w:pPr>
      <w:r w:rsidRPr="00C72906">
        <w:rPr>
          <w:rFonts w:eastAsia="Times New Roman" w:cstheme="minorHAnsi"/>
          <w:i/>
          <w:iCs/>
          <w:color w:val="222222"/>
        </w:rPr>
        <w:t>Are the Eligible YHDP Program costs below allowable within the </w:t>
      </w:r>
      <w:r w:rsidRPr="00C72906">
        <w:rPr>
          <w:rFonts w:eastAsia="Times New Roman" w:cstheme="minorHAnsi"/>
          <w:i/>
          <w:iCs/>
          <w:color w:val="222222"/>
          <w:u w:val="single"/>
        </w:rPr>
        <w:t>Coaching and Navigation Project (SSO)</w:t>
      </w:r>
      <w:r w:rsidRPr="00C72906">
        <w:rPr>
          <w:rFonts w:eastAsia="Times New Roman" w:cstheme="minorHAnsi"/>
          <w:i/>
          <w:iCs/>
          <w:color w:val="222222"/>
        </w:rPr>
        <w:t> in addition to staffing costs:</w:t>
      </w:r>
    </w:p>
    <w:p w14:paraId="374E62AF" w14:textId="77777777" w:rsidR="00C72906" w:rsidRPr="00C72906" w:rsidRDefault="00C72906" w:rsidP="00C72906">
      <w:pPr>
        <w:shd w:val="clear" w:color="auto" w:fill="FFFFFF"/>
        <w:spacing w:after="0" w:line="240" w:lineRule="auto"/>
        <w:rPr>
          <w:rFonts w:eastAsia="Times New Roman" w:cstheme="minorHAnsi"/>
          <w:color w:val="222222"/>
        </w:rPr>
      </w:pPr>
    </w:p>
    <w:p w14:paraId="5963225F" w14:textId="77777777" w:rsidR="00C72906" w:rsidRPr="00C72906" w:rsidRDefault="00C72906" w:rsidP="00C72906">
      <w:pPr>
        <w:numPr>
          <w:ilvl w:val="0"/>
          <w:numId w:val="1"/>
        </w:numPr>
        <w:shd w:val="clear" w:color="auto" w:fill="FFFFFF"/>
        <w:spacing w:after="0" w:line="258" w:lineRule="atLeast"/>
        <w:ind w:left="760"/>
        <w:rPr>
          <w:rFonts w:eastAsia="Times New Roman" w:cstheme="minorHAnsi"/>
          <w:color w:val="222222"/>
        </w:rPr>
      </w:pPr>
      <w:r w:rsidRPr="00C72906">
        <w:rPr>
          <w:rFonts w:eastAsia="Times New Roman" w:cstheme="minorHAnsi"/>
          <w:color w:val="222222"/>
        </w:rPr>
        <w:t xml:space="preserve">Security deposits for units in an amount not to exceed 2 months of </w:t>
      </w:r>
      <w:proofErr w:type="gramStart"/>
      <w:r w:rsidRPr="00C72906">
        <w:rPr>
          <w:rFonts w:eastAsia="Times New Roman" w:cstheme="minorHAnsi"/>
          <w:color w:val="222222"/>
        </w:rPr>
        <w:t>rent;</w:t>
      </w:r>
      <w:proofErr w:type="gramEnd"/>
    </w:p>
    <w:p w14:paraId="4B2A86D4" w14:textId="77777777" w:rsidR="00C72906" w:rsidRPr="00C72906" w:rsidRDefault="00C72906" w:rsidP="00C72906">
      <w:pPr>
        <w:numPr>
          <w:ilvl w:val="0"/>
          <w:numId w:val="1"/>
        </w:numPr>
        <w:shd w:val="clear" w:color="auto" w:fill="FFFFFF"/>
        <w:spacing w:after="0" w:line="224" w:lineRule="atLeast"/>
        <w:ind w:left="760" w:right="125"/>
        <w:rPr>
          <w:rFonts w:eastAsia="Times New Roman" w:cstheme="minorHAnsi"/>
          <w:color w:val="222222"/>
        </w:rPr>
      </w:pPr>
      <w:r w:rsidRPr="00C72906">
        <w:rPr>
          <w:rFonts w:eastAsia="Times New Roman" w:cstheme="minorHAnsi"/>
          <w:color w:val="222222"/>
        </w:rPr>
        <w:t xml:space="preserve">The costs to pay for any damage to housing due to the action of a program participant, which may be paid while the youth </w:t>
      </w:r>
      <w:proofErr w:type="gramStart"/>
      <w:r w:rsidRPr="00C72906">
        <w:rPr>
          <w:rFonts w:eastAsia="Times New Roman" w:cstheme="minorHAnsi"/>
          <w:color w:val="222222"/>
        </w:rPr>
        <w:t>continues</w:t>
      </w:r>
      <w:proofErr w:type="gramEnd"/>
      <w:r w:rsidRPr="00C72906">
        <w:rPr>
          <w:rFonts w:eastAsia="Times New Roman" w:cstheme="minorHAnsi"/>
          <w:color w:val="222222"/>
        </w:rPr>
        <w:t xml:space="preserve"> to reside in the unit. The total costs paid for damage per program participant may not exceed the cost of two-months’</w:t>
      </w:r>
      <w:r w:rsidRPr="00C72906">
        <w:rPr>
          <w:rFonts w:eastAsia="Times New Roman" w:cstheme="minorHAnsi"/>
          <w:color w:val="222222"/>
          <w:spacing w:val="-18"/>
        </w:rPr>
        <w:t> </w:t>
      </w:r>
      <w:r w:rsidRPr="00C72906">
        <w:rPr>
          <w:rFonts w:eastAsia="Times New Roman" w:cstheme="minorHAnsi"/>
          <w:color w:val="222222"/>
        </w:rPr>
        <w:t>rent.</w:t>
      </w:r>
    </w:p>
    <w:p w14:paraId="39835792" w14:textId="77777777" w:rsidR="00C72906" w:rsidRPr="00C72906" w:rsidRDefault="00C72906" w:rsidP="00C72906">
      <w:pPr>
        <w:numPr>
          <w:ilvl w:val="0"/>
          <w:numId w:val="1"/>
        </w:numPr>
        <w:shd w:val="clear" w:color="auto" w:fill="FFFFFF"/>
        <w:spacing w:after="0" w:line="257" w:lineRule="atLeast"/>
        <w:ind w:left="760"/>
        <w:rPr>
          <w:rFonts w:eastAsia="Times New Roman" w:cstheme="minorHAnsi"/>
          <w:color w:val="222222"/>
        </w:rPr>
      </w:pPr>
      <w:r w:rsidRPr="00C72906">
        <w:rPr>
          <w:rFonts w:eastAsia="Times New Roman" w:cstheme="minorHAnsi"/>
          <w:color w:val="222222"/>
        </w:rPr>
        <w:t>The costs of providing household cleaning supplies to</w:t>
      </w:r>
      <w:r w:rsidRPr="00C72906">
        <w:rPr>
          <w:rFonts w:eastAsia="Times New Roman" w:cstheme="minorHAnsi"/>
          <w:color w:val="222222"/>
          <w:spacing w:val="-3"/>
        </w:rPr>
        <w:t> </w:t>
      </w:r>
      <w:r w:rsidRPr="00C72906">
        <w:rPr>
          <w:rFonts w:eastAsia="Times New Roman" w:cstheme="minorHAnsi"/>
          <w:color w:val="222222"/>
        </w:rPr>
        <w:t>clients.</w:t>
      </w:r>
    </w:p>
    <w:p w14:paraId="7EC34CBC" w14:textId="77777777" w:rsidR="00C72906" w:rsidRPr="00C72906" w:rsidRDefault="00C72906" w:rsidP="00C72906">
      <w:pPr>
        <w:numPr>
          <w:ilvl w:val="0"/>
          <w:numId w:val="1"/>
        </w:numPr>
        <w:shd w:val="clear" w:color="auto" w:fill="FFFFFF"/>
        <w:spacing w:before="38" w:after="0" w:line="224" w:lineRule="atLeast"/>
        <w:ind w:left="760" w:right="608"/>
        <w:rPr>
          <w:rFonts w:eastAsia="Times New Roman" w:cstheme="minorHAnsi"/>
          <w:color w:val="222222"/>
        </w:rPr>
      </w:pPr>
      <w:r w:rsidRPr="00C72906">
        <w:rPr>
          <w:rFonts w:eastAsia="Times New Roman" w:cstheme="minorHAnsi"/>
          <w:color w:val="222222"/>
        </w:rPr>
        <w:t>Housing start-up expenses for program participants, including furniture, pots and pans, linens, toiletries, and other household goods, not to exceed $300 in value per program</w:t>
      </w:r>
      <w:r w:rsidRPr="00C72906">
        <w:rPr>
          <w:rFonts w:eastAsia="Times New Roman" w:cstheme="minorHAnsi"/>
          <w:color w:val="222222"/>
          <w:spacing w:val="-8"/>
        </w:rPr>
        <w:t> </w:t>
      </w:r>
      <w:r w:rsidRPr="00C72906">
        <w:rPr>
          <w:rFonts w:eastAsia="Times New Roman" w:cstheme="minorHAnsi"/>
          <w:color w:val="222222"/>
        </w:rPr>
        <w:t>participant.</w:t>
      </w:r>
    </w:p>
    <w:p w14:paraId="2563BA31" w14:textId="77777777" w:rsidR="00C72906" w:rsidRPr="00C72906" w:rsidRDefault="00C72906" w:rsidP="00C72906">
      <w:pPr>
        <w:numPr>
          <w:ilvl w:val="0"/>
          <w:numId w:val="1"/>
        </w:numPr>
        <w:shd w:val="clear" w:color="auto" w:fill="FFFFFF"/>
        <w:spacing w:before="1" w:after="0" w:line="224" w:lineRule="atLeast"/>
        <w:ind w:left="760" w:right="263"/>
        <w:rPr>
          <w:rFonts w:eastAsia="Times New Roman" w:cstheme="minorHAnsi"/>
          <w:color w:val="222222"/>
        </w:rPr>
      </w:pPr>
      <w:r w:rsidRPr="00C72906">
        <w:rPr>
          <w:rFonts w:eastAsia="Times New Roman" w:cstheme="minorHAnsi"/>
          <w:color w:val="222222"/>
        </w:rPr>
        <w:t>The one-time cost of purchasing a cellular phone and service for program participant use, if necessary for the participant to obtain or maintain</w:t>
      </w:r>
      <w:r w:rsidRPr="00C72906">
        <w:rPr>
          <w:rFonts w:eastAsia="Times New Roman" w:cstheme="minorHAnsi"/>
          <w:color w:val="222222"/>
          <w:spacing w:val="-9"/>
        </w:rPr>
        <w:t> </w:t>
      </w:r>
      <w:r w:rsidRPr="00C72906">
        <w:rPr>
          <w:rFonts w:eastAsia="Times New Roman" w:cstheme="minorHAnsi"/>
          <w:color w:val="222222"/>
        </w:rPr>
        <w:t>housing</w:t>
      </w:r>
    </w:p>
    <w:p w14:paraId="7DEAA0DF" w14:textId="77777777" w:rsidR="00C72906" w:rsidRPr="00C72906" w:rsidRDefault="00C72906" w:rsidP="00C72906">
      <w:pPr>
        <w:numPr>
          <w:ilvl w:val="0"/>
          <w:numId w:val="1"/>
        </w:numPr>
        <w:shd w:val="clear" w:color="auto" w:fill="FFFFFF"/>
        <w:spacing w:after="0" w:line="258" w:lineRule="atLeast"/>
        <w:ind w:left="760"/>
        <w:rPr>
          <w:rFonts w:eastAsia="Times New Roman" w:cstheme="minorHAnsi"/>
          <w:color w:val="222222"/>
        </w:rPr>
      </w:pPr>
      <w:r w:rsidRPr="00C72906">
        <w:rPr>
          <w:rFonts w:eastAsia="Times New Roman" w:cstheme="minorHAnsi"/>
          <w:color w:val="222222"/>
        </w:rPr>
        <w:t>The cost of internet in a program participant’s</w:t>
      </w:r>
      <w:r w:rsidRPr="00C72906">
        <w:rPr>
          <w:rFonts w:eastAsia="Times New Roman" w:cstheme="minorHAnsi"/>
          <w:color w:val="222222"/>
          <w:spacing w:val="-3"/>
        </w:rPr>
        <w:t> </w:t>
      </w:r>
      <w:r w:rsidRPr="00C72906">
        <w:rPr>
          <w:rFonts w:eastAsia="Times New Roman" w:cstheme="minorHAnsi"/>
          <w:color w:val="222222"/>
        </w:rPr>
        <w:t>unit.</w:t>
      </w:r>
    </w:p>
    <w:p w14:paraId="2D2A7842" w14:textId="77777777" w:rsidR="00C72906" w:rsidRPr="00C72906" w:rsidRDefault="00C72906" w:rsidP="00C72906">
      <w:pPr>
        <w:numPr>
          <w:ilvl w:val="0"/>
          <w:numId w:val="1"/>
        </w:numPr>
        <w:shd w:val="clear" w:color="auto" w:fill="FFFFFF"/>
        <w:spacing w:before="38" w:after="0" w:line="224" w:lineRule="atLeast"/>
        <w:ind w:left="760" w:right="544"/>
        <w:rPr>
          <w:rFonts w:eastAsia="Times New Roman" w:cstheme="minorHAnsi"/>
          <w:color w:val="222222"/>
        </w:rPr>
      </w:pPr>
      <w:r w:rsidRPr="00C72906">
        <w:rPr>
          <w:rFonts w:eastAsia="Times New Roman" w:cstheme="minorHAnsi"/>
          <w:color w:val="222222"/>
        </w:rPr>
        <w:t>Payment of rental arrears consisting of a one-time payment for up to 6 months of rent in arrears, including any late fees on those</w:t>
      </w:r>
      <w:r w:rsidRPr="00C72906">
        <w:rPr>
          <w:rFonts w:eastAsia="Times New Roman" w:cstheme="minorHAnsi"/>
          <w:color w:val="222222"/>
          <w:spacing w:val="-2"/>
        </w:rPr>
        <w:t> </w:t>
      </w:r>
      <w:r w:rsidRPr="00C72906">
        <w:rPr>
          <w:rFonts w:eastAsia="Times New Roman" w:cstheme="minorHAnsi"/>
          <w:color w:val="222222"/>
        </w:rPr>
        <w:t>arrears.</w:t>
      </w:r>
    </w:p>
    <w:p w14:paraId="51544F85" w14:textId="77777777" w:rsidR="00C72906" w:rsidRPr="00C72906" w:rsidRDefault="00C72906" w:rsidP="00C72906">
      <w:pPr>
        <w:numPr>
          <w:ilvl w:val="0"/>
          <w:numId w:val="1"/>
        </w:numPr>
        <w:shd w:val="clear" w:color="auto" w:fill="FFFFFF"/>
        <w:spacing w:before="1" w:after="0" w:line="240" w:lineRule="auto"/>
        <w:ind w:left="760"/>
        <w:rPr>
          <w:rFonts w:eastAsia="Times New Roman" w:cstheme="minorHAnsi"/>
          <w:color w:val="222222"/>
        </w:rPr>
      </w:pPr>
      <w:r w:rsidRPr="00C72906">
        <w:rPr>
          <w:rFonts w:eastAsia="Times New Roman" w:cstheme="minorHAnsi"/>
          <w:color w:val="222222"/>
        </w:rPr>
        <w:t>Payment of utility arrears of up to 6 months per</w:t>
      </w:r>
      <w:r w:rsidRPr="00C72906">
        <w:rPr>
          <w:rFonts w:eastAsia="Times New Roman" w:cstheme="minorHAnsi"/>
          <w:color w:val="222222"/>
          <w:spacing w:val="-3"/>
        </w:rPr>
        <w:t> </w:t>
      </w:r>
      <w:r w:rsidRPr="00C72906">
        <w:rPr>
          <w:rFonts w:eastAsia="Times New Roman" w:cstheme="minorHAnsi"/>
          <w:color w:val="222222"/>
        </w:rPr>
        <w:t>service.</w:t>
      </w:r>
    </w:p>
    <w:p w14:paraId="2A7B8F76" w14:textId="77777777" w:rsidR="00C72906" w:rsidRPr="00C72906" w:rsidRDefault="00C72906" w:rsidP="00C72906">
      <w:pPr>
        <w:numPr>
          <w:ilvl w:val="0"/>
          <w:numId w:val="1"/>
        </w:numPr>
        <w:shd w:val="clear" w:color="auto" w:fill="FFFFFF"/>
        <w:spacing w:before="39" w:after="0" w:line="224" w:lineRule="atLeast"/>
        <w:ind w:left="760" w:right="106"/>
        <w:rPr>
          <w:rFonts w:eastAsia="Times New Roman" w:cstheme="minorHAnsi"/>
          <w:color w:val="222222"/>
        </w:rPr>
      </w:pPr>
      <w:r w:rsidRPr="00C72906">
        <w:rPr>
          <w:rFonts w:eastAsia="Times New Roman" w:cstheme="minorHAnsi"/>
          <w:color w:val="222222"/>
        </w:rPr>
        <w:t>Up to three months of utilities for a program participant, based on the utility costs schedule for the unit size and location.</w:t>
      </w:r>
    </w:p>
    <w:p w14:paraId="613B7C27" w14:textId="77777777" w:rsidR="00C72906" w:rsidRPr="00C72906" w:rsidRDefault="00C72906" w:rsidP="00C72906">
      <w:pPr>
        <w:numPr>
          <w:ilvl w:val="0"/>
          <w:numId w:val="1"/>
        </w:numPr>
        <w:shd w:val="clear" w:color="auto" w:fill="FFFFFF"/>
        <w:spacing w:after="0" w:line="258" w:lineRule="atLeast"/>
        <w:ind w:left="760"/>
        <w:rPr>
          <w:rFonts w:eastAsia="Times New Roman" w:cstheme="minorHAnsi"/>
          <w:color w:val="222222"/>
        </w:rPr>
      </w:pPr>
      <w:r w:rsidRPr="00C72906">
        <w:rPr>
          <w:rFonts w:eastAsia="Times New Roman" w:cstheme="minorHAnsi"/>
          <w:color w:val="222222"/>
        </w:rPr>
        <w:t> In addition to transportation costs eligible in 24</w:t>
      </w:r>
      <w:r w:rsidRPr="00C72906">
        <w:rPr>
          <w:rFonts w:eastAsia="Times New Roman" w:cstheme="minorHAnsi"/>
          <w:color w:val="222222"/>
          <w:spacing w:val="-2"/>
        </w:rPr>
        <w:t> </w:t>
      </w:r>
      <w:r w:rsidRPr="00C72906">
        <w:rPr>
          <w:rFonts w:eastAsia="Times New Roman" w:cstheme="minorHAnsi"/>
          <w:color w:val="222222"/>
        </w:rPr>
        <w:t>CFR 578.53(e)(15), a recipient may pay gas and mileage costs for a program participant’s personal vehicle for trips to and from medical care, employment, childcare, or other services eligible under this section.</w:t>
      </w:r>
    </w:p>
    <w:p w14:paraId="4216DFA6" w14:textId="77777777" w:rsidR="00C72906" w:rsidRPr="00C72906" w:rsidRDefault="00C72906" w:rsidP="00C72906">
      <w:pPr>
        <w:numPr>
          <w:ilvl w:val="0"/>
          <w:numId w:val="1"/>
        </w:numPr>
        <w:shd w:val="clear" w:color="auto" w:fill="FFFFFF"/>
        <w:spacing w:before="1" w:after="0" w:line="240" w:lineRule="auto"/>
        <w:ind w:left="760"/>
        <w:rPr>
          <w:rFonts w:eastAsia="Times New Roman" w:cstheme="minorHAnsi"/>
          <w:color w:val="222222"/>
        </w:rPr>
      </w:pPr>
      <w:r w:rsidRPr="00C72906">
        <w:rPr>
          <w:rFonts w:eastAsia="Times New Roman" w:cstheme="minorHAnsi"/>
          <w:color w:val="222222"/>
        </w:rPr>
        <w:t>Legal fees, including court fees, bail bonds, and required courses and</w:t>
      </w:r>
      <w:r w:rsidRPr="00C72906">
        <w:rPr>
          <w:rFonts w:eastAsia="Times New Roman" w:cstheme="minorHAnsi"/>
          <w:color w:val="222222"/>
          <w:spacing w:val="-2"/>
        </w:rPr>
        <w:t> </w:t>
      </w:r>
      <w:r w:rsidRPr="00C72906">
        <w:rPr>
          <w:rFonts w:eastAsia="Times New Roman" w:cstheme="minorHAnsi"/>
          <w:color w:val="222222"/>
        </w:rPr>
        <w:t>equipment.</w:t>
      </w:r>
    </w:p>
    <w:p w14:paraId="677C0DE6" w14:textId="59A62D46" w:rsidR="00C72906" w:rsidRDefault="00C72906" w:rsidP="57D77143">
      <w:pPr>
        <w:numPr>
          <w:ilvl w:val="0"/>
          <w:numId w:val="1"/>
        </w:numPr>
        <w:shd w:val="clear" w:color="auto" w:fill="FFFFFF"/>
        <w:spacing w:before="39" w:after="0" w:line="224" w:lineRule="atLeast"/>
        <w:ind w:left="760" w:right="114"/>
        <w:rPr>
          <w:rFonts w:eastAsia="Times New Roman" w:cstheme="minorHAnsi"/>
          <w:color w:val="222222"/>
        </w:rPr>
      </w:pPr>
      <w:r w:rsidRPr="00C72906">
        <w:rPr>
          <w:rFonts w:eastAsia="Times New Roman" w:cstheme="minorHAnsi"/>
          <w:color w:val="222222"/>
        </w:rPr>
        <w:t>Program participant’s past driving fines and fees that are blocking a young person from being able to obtain or renew a driver’s license and impacting their ability to obtain or maintain housing. Additionally, recipients may pay for program participants costs for insurance and registration for personal vehicles, if the personal vehicle is necessary to reach medical</w:t>
      </w:r>
      <w:r w:rsidRPr="00C72906">
        <w:rPr>
          <w:rFonts w:eastAsia="Times New Roman" w:cstheme="minorHAnsi"/>
          <w:color w:val="222222"/>
          <w:spacing w:val="-19"/>
        </w:rPr>
        <w:t> </w:t>
      </w:r>
      <w:r w:rsidRPr="00C72906">
        <w:rPr>
          <w:rFonts w:eastAsia="Times New Roman" w:cstheme="minorHAnsi"/>
          <w:color w:val="222222"/>
        </w:rPr>
        <w:t>care, employment, childcare, or other services eligible under this section.</w:t>
      </w:r>
    </w:p>
    <w:p w14:paraId="5723C59F" w14:textId="77777777" w:rsidR="00D12985" w:rsidRPr="00B50370" w:rsidRDefault="00D12985" w:rsidP="00D12985">
      <w:pPr>
        <w:shd w:val="clear" w:color="auto" w:fill="FFFFFF"/>
        <w:spacing w:before="39" w:after="0" w:line="224" w:lineRule="atLeast"/>
        <w:ind w:left="760" w:right="114"/>
        <w:rPr>
          <w:rFonts w:eastAsia="Times New Roman" w:cstheme="minorHAnsi"/>
          <w:color w:val="222222"/>
        </w:rPr>
      </w:pPr>
    </w:p>
    <w:p w14:paraId="0AB911B6" w14:textId="02065A7C" w:rsidR="00C72906" w:rsidRDefault="00C72906" w:rsidP="57D77143">
      <w:pPr>
        <w:rPr>
          <w:b/>
          <w:bCs/>
        </w:rPr>
      </w:pPr>
      <w:r>
        <w:rPr>
          <w:b/>
          <w:bCs/>
        </w:rPr>
        <w:t>ANSWER: Technically yes, th</w:t>
      </w:r>
      <w:r w:rsidR="00553ACA">
        <w:rPr>
          <w:b/>
          <w:bCs/>
        </w:rPr>
        <w:t>at program flexibility is</w:t>
      </w:r>
      <w:r>
        <w:rPr>
          <w:b/>
          <w:bCs/>
        </w:rPr>
        <w:t xml:space="preserve"> an allowable program flexibility under the HUD YHDP COC NOFO</w:t>
      </w:r>
      <w:r w:rsidR="00B74991">
        <w:rPr>
          <w:b/>
          <w:bCs/>
        </w:rPr>
        <w:t xml:space="preserve"> </w:t>
      </w:r>
      <w:r>
        <w:rPr>
          <w:b/>
          <w:bCs/>
        </w:rPr>
        <w:t xml:space="preserve">under these </w:t>
      </w:r>
      <w:proofErr w:type="gramStart"/>
      <w:r>
        <w:rPr>
          <w:b/>
          <w:bCs/>
        </w:rPr>
        <w:t>conditions;</w:t>
      </w:r>
      <w:proofErr w:type="gramEnd"/>
      <w:r w:rsidR="00553ACA">
        <w:rPr>
          <w:b/>
          <w:bCs/>
        </w:rPr>
        <w:t xml:space="preserve"> </w:t>
      </w:r>
    </w:p>
    <w:p w14:paraId="0403FAD9" w14:textId="56558DBD" w:rsidR="00C72906" w:rsidRPr="00C72906" w:rsidRDefault="00C72906" w:rsidP="00553ACA">
      <w:pPr>
        <w:rPr>
          <w:b/>
          <w:bCs/>
        </w:rPr>
      </w:pPr>
      <w:r w:rsidRPr="00553ACA">
        <w:rPr>
          <w:rStyle w:val="markedcontent"/>
          <w:b/>
          <w:bCs/>
        </w:rPr>
        <w:t>a. The following YHDP activities may be exercised by YHDP recipients with</w:t>
      </w:r>
      <w:r w:rsidR="00553ACA" w:rsidRPr="00553ACA">
        <w:rPr>
          <w:b/>
          <w:bCs/>
        </w:rPr>
        <w:t xml:space="preserve"> </w:t>
      </w:r>
      <w:r w:rsidRPr="00553ACA">
        <w:rPr>
          <w:rStyle w:val="markedcontent"/>
          <w:b/>
          <w:bCs/>
        </w:rPr>
        <w:t>notice to the Deputy Assistant Secretary for Special Needs, subject to</w:t>
      </w:r>
      <w:r w:rsidR="00553ACA" w:rsidRPr="00553ACA">
        <w:rPr>
          <w:b/>
          <w:bCs/>
        </w:rPr>
        <w:t xml:space="preserve"> </w:t>
      </w:r>
      <w:r w:rsidRPr="00553ACA">
        <w:rPr>
          <w:rStyle w:val="markedcontent"/>
          <w:b/>
          <w:bCs/>
        </w:rPr>
        <w:t>requirements governing grant agreement amendments at 24 CFR 578.105</w:t>
      </w:r>
      <w:r w:rsidRPr="00C72906">
        <w:rPr>
          <w:rStyle w:val="FootnoteReference"/>
        </w:rPr>
        <w:footnoteReference w:id="1"/>
      </w:r>
      <w:r w:rsidR="00553ACA">
        <w:rPr>
          <w:rStyle w:val="markedcontent"/>
        </w:rPr>
        <w:t xml:space="preserve"> </w:t>
      </w:r>
    </w:p>
    <w:p w14:paraId="242C9EE0" w14:textId="434BDBF1" w:rsidR="00C72906" w:rsidRDefault="00553ACA" w:rsidP="57D77143">
      <w:pPr>
        <w:rPr>
          <w:b/>
          <w:bCs/>
        </w:rPr>
      </w:pPr>
      <w:r>
        <w:rPr>
          <w:b/>
          <w:bCs/>
        </w:rPr>
        <w:t>Programs are encouraged to explore all program flexibilities as innovative activities</w:t>
      </w:r>
      <w:r w:rsidR="00D12985">
        <w:rPr>
          <w:b/>
          <w:bCs/>
        </w:rPr>
        <w:t xml:space="preserve"> in Appendix D of the RFP</w:t>
      </w:r>
      <w:r>
        <w:rPr>
          <w:b/>
          <w:bCs/>
        </w:rPr>
        <w:t xml:space="preserve"> in their proposals.</w:t>
      </w:r>
    </w:p>
    <w:p w14:paraId="0EFABF44" w14:textId="00F261C7" w:rsidR="00553ACA" w:rsidRDefault="00553ACA" w:rsidP="57D77143">
      <w:pPr>
        <w:rPr>
          <w:i/>
          <w:iCs/>
          <w:color w:val="222222"/>
          <w:shd w:val="clear" w:color="auto" w:fill="FFFFFF"/>
        </w:rPr>
      </w:pPr>
      <w:r w:rsidRPr="00553ACA">
        <w:rPr>
          <w:i/>
          <w:iCs/>
          <w:color w:val="222222"/>
          <w:shd w:val="clear" w:color="auto" w:fill="FFFFFF"/>
        </w:rPr>
        <w:lastRenderedPageBreak/>
        <w:t>In addition: The slide below listed Leasing as a</w:t>
      </w:r>
      <w:r w:rsidR="00B74991">
        <w:rPr>
          <w:i/>
          <w:iCs/>
          <w:color w:val="222222"/>
          <w:shd w:val="clear" w:color="auto" w:fill="FFFFFF"/>
        </w:rPr>
        <w:t>n</w:t>
      </w:r>
      <w:r w:rsidRPr="00553ACA">
        <w:rPr>
          <w:i/>
          <w:iCs/>
          <w:color w:val="222222"/>
          <w:shd w:val="clear" w:color="auto" w:fill="FFFFFF"/>
        </w:rPr>
        <w:t xml:space="preserve"> Eligible YHDP Program Cost under Coaching/Navigation “SSO”. Can we be provided more information on how leasing would be an eligible YHDP program cost for this Project?</w:t>
      </w:r>
    </w:p>
    <w:p w14:paraId="47A94ACF" w14:textId="55040F89" w:rsidR="00553ACA" w:rsidRDefault="00553ACA" w:rsidP="57D77143">
      <w:pPr>
        <w:rPr>
          <w:b/>
          <w:bCs/>
          <w:i/>
          <w:iCs/>
        </w:rPr>
      </w:pPr>
      <w:r>
        <w:rPr>
          <w:b/>
          <w:bCs/>
          <w:i/>
          <w:iCs/>
          <w:noProof/>
        </w:rPr>
        <w:drawing>
          <wp:inline distT="0" distB="0" distL="0" distR="0" wp14:anchorId="1409ADE6" wp14:editId="28941C07">
            <wp:extent cx="4792512" cy="315237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8605" cy="3162961"/>
                    </a:xfrm>
                    <a:prstGeom prst="rect">
                      <a:avLst/>
                    </a:prstGeom>
                    <a:noFill/>
                  </pic:spPr>
                </pic:pic>
              </a:graphicData>
            </a:graphic>
          </wp:inline>
        </w:drawing>
      </w:r>
      <w:r>
        <w:rPr>
          <w:noProof/>
        </w:rPr>
        <mc:AlternateContent>
          <mc:Choice Requires="wps">
            <w:drawing>
              <wp:inline distT="0" distB="0" distL="0" distR="0" wp14:anchorId="73FFFB26" wp14:editId="54709010">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469B12"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A5F590E" w14:textId="09489A06" w:rsidR="00B74991" w:rsidRPr="00553ACA" w:rsidRDefault="00553ACA" w:rsidP="57D77143">
      <w:pPr>
        <w:rPr>
          <w:b/>
          <w:bCs/>
        </w:rPr>
      </w:pPr>
      <w:r>
        <w:rPr>
          <w:b/>
          <w:bCs/>
        </w:rPr>
        <w:t xml:space="preserve">ANSWER: </w:t>
      </w:r>
      <w:r w:rsidR="00B50370">
        <w:rPr>
          <w:b/>
          <w:bCs/>
        </w:rPr>
        <w:t xml:space="preserve">The CoC Interim Rule specifies which eligible supportive services can be paid for with the CoC Supportive Services funds, including YHDP. Information on eligible supportive services can be found here: </w:t>
      </w:r>
      <w:hyperlink r:id="rId11" w:history="1">
        <w:r w:rsidR="00B50370" w:rsidRPr="00AD2347">
          <w:rPr>
            <w:rStyle w:val="Hyperlink"/>
            <w:b/>
            <w:bCs/>
          </w:rPr>
          <w:t>https://www.hudexchange.info/homelessness-assistance/coc-esg-virtual-binders/coc-eligible-activities/supportive-services/</w:t>
        </w:r>
      </w:hyperlink>
      <w:r w:rsidR="00B50370">
        <w:rPr>
          <w:b/>
          <w:bCs/>
        </w:rPr>
        <w:t xml:space="preserve">   </w:t>
      </w:r>
      <w:r>
        <w:rPr>
          <w:b/>
          <w:bCs/>
        </w:rPr>
        <w:t xml:space="preserve"> </w:t>
      </w:r>
    </w:p>
    <w:p w14:paraId="6946769D" w14:textId="7563D639" w:rsidR="00B74991" w:rsidRPr="00B74991" w:rsidRDefault="00B74991" w:rsidP="57D77143">
      <w:pPr>
        <w:rPr>
          <w:b/>
          <w:bCs/>
        </w:rPr>
      </w:pPr>
      <w:r>
        <w:rPr>
          <w:b/>
          <w:bCs/>
        </w:rPr>
        <w:t xml:space="preserve">Applicants are encouraged to follow project descriptions in Appendix A in their proposals. </w:t>
      </w:r>
    </w:p>
    <w:p w14:paraId="17C4EA24" w14:textId="121E422B" w:rsidR="00B74991" w:rsidRDefault="00B74991">
      <w:pPr>
        <w:rPr>
          <w:b/>
          <w:bCs/>
          <w:u w:val="single"/>
        </w:rPr>
      </w:pPr>
      <w:r>
        <w:rPr>
          <w:b/>
          <w:bCs/>
          <w:u w:val="single"/>
        </w:rPr>
        <w:br w:type="page"/>
      </w:r>
    </w:p>
    <w:p w14:paraId="2DDD3008" w14:textId="77777777" w:rsidR="00B74991" w:rsidRDefault="00B74991" w:rsidP="57D77143">
      <w:pPr>
        <w:rPr>
          <w:b/>
          <w:bCs/>
          <w:u w:val="single"/>
        </w:rPr>
      </w:pPr>
    </w:p>
    <w:p w14:paraId="54334C29" w14:textId="4F4150C8" w:rsidR="57D77143" w:rsidRPr="00553ACA" w:rsidRDefault="57D77143" w:rsidP="57D77143">
      <w:pPr>
        <w:rPr>
          <w:b/>
          <w:bCs/>
          <w:u w:val="single"/>
        </w:rPr>
      </w:pPr>
      <w:r w:rsidRPr="00553ACA">
        <w:rPr>
          <w:b/>
          <w:bCs/>
          <w:u w:val="single"/>
        </w:rPr>
        <w:t>As of April 19, 2022</w:t>
      </w:r>
    </w:p>
    <w:p w14:paraId="6B4271F8" w14:textId="53AE5FDA" w:rsidR="57D77143" w:rsidRDefault="57D77143" w:rsidP="57D77143">
      <w:pPr>
        <w:rPr>
          <w:color w:val="222222"/>
        </w:rPr>
      </w:pPr>
      <w:r w:rsidRPr="57D77143">
        <w:rPr>
          <w:color w:val="222222"/>
        </w:rPr>
        <w:t xml:space="preserve">Clarification on oversight in RFP.   </w:t>
      </w:r>
    </w:p>
    <w:p w14:paraId="15793878" w14:textId="3DF40C2D" w:rsidR="57D77143" w:rsidRDefault="57D77143" w:rsidP="57D77143">
      <w:pPr>
        <w:rPr>
          <w:color w:val="222222"/>
        </w:rPr>
      </w:pPr>
      <w:r w:rsidRPr="57D77143">
        <w:rPr>
          <w:color w:val="222222"/>
        </w:rPr>
        <w:t>From Appendix A (page 11): Project Description</w:t>
      </w:r>
    </w:p>
    <w:p w14:paraId="746C5841" w14:textId="42F3CFB0" w:rsidR="57D77143" w:rsidRDefault="57D77143" w:rsidP="57D77143">
      <w:r w:rsidRPr="615C69AC">
        <w:rPr>
          <w:color w:val="222222"/>
        </w:rPr>
        <w:t xml:space="preserve">The following statement </w:t>
      </w:r>
      <w:r w:rsidR="00D95A2A">
        <w:rPr>
          <w:color w:val="222222"/>
        </w:rPr>
        <w:t xml:space="preserve">should have </w:t>
      </w:r>
      <w:r w:rsidRPr="615C69AC">
        <w:rPr>
          <w:color w:val="222222"/>
        </w:rPr>
        <w:t>be</w:t>
      </w:r>
      <w:r w:rsidR="00D95A2A">
        <w:rPr>
          <w:color w:val="222222"/>
        </w:rPr>
        <w:t>en</w:t>
      </w:r>
      <w:r w:rsidRPr="615C69AC">
        <w:rPr>
          <w:color w:val="222222"/>
        </w:rPr>
        <w:t xml:space="preserve"> included in the Rapid Response Assistance Summary.   “</w:t>
      </w:r>
      <w:r w:rsidRPr="615C69AC">
        <w:rPr>
          <w:rFonts w:ascii="Calibri" w:eastAsia="Calibri" w:hAnsi="Calibri" w:cs="Calibri"/>
        </w:rPr>
        <w:t xml:space="preserve">Special Consideration: Rapid Response Assistance projects must utilize the Lincoln Prevention Assistance Common Fund.”    </w:t>
      </w:r>
      <w:r>
        <w:rPr>
          <w:noProof/>
        </w:rPr>
        <w:drawing>
          <wp:inline distT="0" distB="0" distL="0" distR="0" wp14:anchorId="1F6F5081" wp14:editId="65BB6E4D">
            <wp:extent cx="4619445" cy="2040255"/>
            <wp:effectExtent l="0" t="0" r="0" b="0"/>
            <wp:docPr id="2003360002" name="Picture 200336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628145" cy="2044097"/>
                    </a:xfrm>
                    <a:prstGeom prst="rect">
                      <a:avLst/>
                    </a:prstGeom>
                  </pic:spPr>
                </pic:pic>
              </a:graphicData>
            </a:graphic>
          </wp:inline>
        </w:drawing>
      </w:r>
    </w:p>
    <w:p w14:paraId="539E31B6" w14:textId="09A1A4AD" w:rsidR="57D77143" w:rsidRDefault="57D77143" w:rsidP="57D77143">
      <w:pPr>
        <w:rPr>
          <w:b/>
          <w:bCs/>
        </w:rPr>
      </w:pPr>
    </w:p>
    <w:p w14:paraId="2502C5FF" w14:textId="0A994E4F" w:rsidR="00BD7584" w:rsidRPr="00D12985" w:rsidRDefault="00BD7584" w:rsidP="00BD7584">
      <w:pPr>
        <w:rPr>
          <w:b/>
          <w:bCs/>
          <w:u w:val="single"/>
        </w:rPr>
      </w:pPr>
      <w:r w:rsidRPr="00D12985">
        <w:rPr>
          <w:b/>
          <w:bCs/>
          <w:u w:val="single"/>
        </w:rPr>
        <w:t xml:space="preserve">As of April 14, 2022: </w:t>
      </w:r>
    </w:p>
    <w:p w14:paraId="6437D42E" w14:textId="44A66FC9" w:rsidR="00D12985" w:rsidRPr="00D12985" w:rsidRDefault="00BD7584" w:rsidP="00BD7584">
      <w:pPr>
        <w:rPr>
          <w:rFonts w:cstheme="minorHAnsi"/>
          <w:i/>
          <w:iCs/>
          <w:color w:val="222222"/>
          <w:shd w:val="clear" w:color="auto" w:fill="FFFFFF"/>
        </w:rPr>
      </w:pPr>
      <w:r w:rsidRPr="00D12985">
        <w:rPr>
          <w:rFonts w:cstheme="minorHAnsi"/>
          <w:i/>
          <w:iCs/>
          <w:color w:val="222222"/>
          <w:shd w:val="clear" w:color="auto" w:fill="FFFFFF"/>
        </w:rPr>
        <w:t>From the slide below is the “Project $ Est. Range” per funded project per year? Also, is the “Estimated # of Youth HH Served Per Year” per funded project (20-30 per funded project or 10-15 per funded project if 2 approved projects)?</w:t>
      </w:r>
    </w:p>
    <w:p w14:paraId="60B1784D" w14:textId="77777777" w:rsidR="00D12985" w:rsidRDefault="00D12985" w:rsidP="00BD7584">
      <w:pPr>
        <w:rPr>
          <w:rFonts w:cstheme="minorHAnsi"/>
          <w:color w:val="222222"/>
          <w:shd w:val="clear" w:color="auto" w:fill="FFFFFF"/>
        </w:rPr>
      </w:pPr>
      <w:r w:rsidRPr="00D12985">
        <w:rPr>
          <w:noProof/>
        </w:rPr>
        <w:t xml:space="preserve"> </w:t>
      </w:r>
      <w:r>
        <w:rPr>
          <w:noProof/>
        </w:rPr>
        <w:drawing>
          <wp:inline distT="0" distB="0" distL="0" distR="0" wp14:anchorId="2419CBFB" wp14:editId="12943B87">
            <wp:extent cx="3715047" cy="2438240"/>
            <wp:effectExtent l="0" t="0" r="0" b="63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0122" cy="2448134"/>
                    </a:xfrm>
                    <a:prstGeom prst="rect">
                      <a:avLst/>
                    </a:prstGeom>
                    <a:noFill/>
                  </pic:spPr>
                </pic:pic>
              </a:graphicData>
            </a:graphic>
          </wp:inline>
        </w:drawing>
      </w:r>
    </w:p>
    <w:p w14:paraId="043DF7A0" w14:textId="1A9FAC34" w:rsidR="00BD7584" w:rsidRPr="00D12985" w:rsidRDefault="00D12985" w:rsidP="00BD7584">
      <w:pPr>
        <w:rPr>
          <w:rFonts w:cstheme="minorHAnsi"/>
          <w:b/>
          <w:bCs/>
          <w:color w:val="222222"/>
          <w:shd w:val="clear" w:color="auto" w:fill="FFFFFF"/>
        </w:rPr>
      </w:pPr>
      <w:r>
        <w:rPr>
          <w:b/>
          <w:bCs/>
        </w:rPr>
        <w:t>ANSWER:</w:t>
      </w:r>
      <w:r w:rsidR="00BD7584" w:rsidRPr="00D12985">
        <w:rPr>
          <w:b/>
          <w:bCs/>
        </w:rPr>
        <w:t xml:space="preserve"> Yes, the amount of project estimated range is per year. The estimated number of </w:t>
      </w:r>
      <w:proofErr w:type="gramStart"/>
      <w:r w:rsidR="00BD7584" w:rsidRPr="00D12985">
        <w:rPr>
          <w:b/>
          <w:bCs/>
        </w:rPr>
        <w:t>youth</w:t>
      </w:r>
      <w:proofErr w:type="gramEnd"/>
      <w:r w:rsidR="00BD7584" w:rsidRPr="00D12985">
        <w:rPr>
          <w:b/>
          <w:bCs/>
        </w:rPr>
        <w:t xml:space="preserve"> HH served per year is total per component type. </w:t>
      </w:r>
      <w:r w:rsidR="00F765B5" w:rsidRPr="00D12985">
        <w:rPr>
          <w:b/>
          <w:bCs/>
        </w:rPr>
        <w:t xml:space="preserve">– </w:t>
      </w:r>
      <w:proofErr w:type="gramStart"/>
      <w:r w:rsidR="00F765B5" w:rsidRPr="00D12985">
        <w:rPr>
          <w:b/>
          <w:bCs/>
        </w:rPr>
        <w:t>i.e.</w:t>
      </w:r>
      <w:proofErr w:type="gramEnd"/>
      <w:r w:rsidR="00F765B5" w:rsidRPr="00D12985">
        <w:rPr>
          <w:b/>
          <w:bCs/>
        </w:rPr>
        <w:t xml:space="preserve"> it is estimated that all YHDP funded PSH Project(s) would serve 20-25 youth a year. </w:t>
      </w:r>
    </w:p>
    <w:p w14:paraId="6EE4C503" w14:textId="125A75A7" w:rsidR="00F765B5" w:rsidRPr="00D12985" w:rsidRDefault="00F765B5" w:rsidP="00BD7584">
      <w:pPr>
        <w:rPr>
          <w:rFonts w:cstheme="minorHAnsi"/>
          <w:i/>
          <w:iCs/>
          <w:color w:val="222222"/>
          <w:shd w:val="clear" w:color="auto" w:fill="FFFFFF"/>
        </w:rPr>
      </w:pPr>
      <w:r w:rsidRPr="00D12985">
        <w:rPr>
          <w:rFonts w:cstheme="minorHAnsi"/>
          <w:i/>
          <w:iCs/>
        </w:rPr>
        <w:lastRenderedPageBreak/>
        <w:t>I</w:t>
      </w:r>
      <w:r w:rsidRPr="00D12985">
        <w:rPr>
          <w:rFonts w:cstheme="minorHAnsi"/>
          <w:i/>
          <w:iCs/>
          <w:color w:val="222222"/>
          <w:shd w:val="clear" w:color="auto" w:fill="FFFFFF"/>
        </w:rPr>
        <w:t xml:space="preserve">n addition, </w:t>
      </w:r>
      <w:proofErr w:type="gramStart"/>
      <w:r w:rsidRPr="00D12985">
        <w:rPr>
          <w:rFonts w:cstheme="minorHAnsi"/>
          <w:i/>
          <w:iCs/>
          <w:color w:val="222222"/>
          <w:shd w:val="clear" w:color="auto" w:fill="FFFFFF"/>
        </w:rPr>
        <w:t>in regards to</w:t>
      </w:r>
      <w:proofErr w:type="gramEnd"/>
      <w:r w:rsidRPr="00D12985">
        <w:rPr>
          <w:rFonts w:cstheme="minorHAnsi"/>
          <w:i/>
          <w:iCs/>
          <w:color w:val="222222"/>
          <w:shd w:val="clear" w:color="auto" w:fill="FFFFFF"/>
        </w:rPr>
        <w:t xml:space="preserve"> the “Non-Binding Letter of Intent” due April 15th, is there anything specific that needs to be on the letter (type of project, collaboration, etc.) or just a statement that the agency will be submitting an application for YHDP?</w:t>
      </w:r>
    </w:p>
    <w:p w14:paraId="1F6022D3" w14:textId="35DF7C09" w:rsidR="00F765B5" w:rsidRPr="00D12985" w:rsidRDefault="00D12985" w:rsidP="00BD7584">
      <w:r w:rsidRPr="00D12985">
        <w:rPr>
          <w:b/>
          <w:bCs/>
          <w:color w:val="222222"/>
          <w:shd w:val="clear" w:color="auto" w:fill="FFFFFF"/>
        </w:rPr>
        <w:t>ANSWER:</w:t>
      </w:r>
      <w:r w:rsidR="00F765B5" w:rsidRPr="00D12985">
        <w:rPr>
          <w:b/>
          <w:bCs/>
          <w:color w:val="222222"/>
          <w:shd w:val="clear" w:color="auto" w:fill="FFFFFF"/>
        </w:rPr>
        <w:t xml:space="preserve"> Letter of intent should include at a minimum type of project/component agency intends to apply for.</w:t>
      </w:r>
      <w:r w:rsidR="00F765B5" w:rsidRPr="00D12985">
        <w:rPr>
          <w:color w:val="222222"/>
          <w:shd w:val="clear" w:color="auto" w:fill="FFFFFF"/>
        </w:rPr>
        <w:t xml:space="preserve"> </w:t>
      </w:r>
    </w:p>
    <w:p w14:paraId="5EC4D4FC" w14:textId="73A2DD33" w:rsidR="57D77143" w:rsidRDefault="57D77143" w:rsidP="57D77143">
      <w:pPr>
        <w:rPr>
          <w:color w:val="222222"/>
        </w:rPr>
      </w:pPr>
    </w:p>
    <w:p w14:paraId="574A489D" w14:textId="5BBC7498" w:rsidR="57D77143" w:rsidRDefault="57D77143" w:rsidP="57D77143">
      <w:pPr>
        <w:rPr>
          <w:color w:val="222222"/>
        </w:rPr>
      </w:pPr>
    </w:p>
    <w:sectPr w:rsidR="57D771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BFEAA" w14:textId="77777777" w:rsidR="007A25F4" w:rsidRDefault="007A25F4" w:rsidP="00C72906">
      <w:pPr>
        <w:spacing w:after="0" w:line="240" w:lineRule="auto"/>
      </w:pPr>
      <w:r>
        <w:separator/>
      </w:r>
    </w:p>
  </w:endnote>
  <w:endnote w:type="continuationSeparator" w:id="0">
    <w:p w14:paraId="4BAE0566" w14:textId="77777777" w:rsidR="007A25F4" w:rsidRDefault="007A25F4" w:rsidP="00C72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8465" w14:textId="77777777" w:rsidR="007A25F4" w:rsidRDefault="007A25F4" w:rsidP="00C72906">
      <w:pPr>
        <w:spacing w:after="0" w:line="240" w:lineRule="auto"/>
      </w:pPr>
      <w:r>
        <w:separator/>
      </w:r>
    </w:p>
  </w:footnote>
  <w:footnote w:type="continuationSeparator" w:id="0">
    <w:p w14:paraId="65BFAB8E" w14:textId="77777777" w:rsidR="007A25F4" w:rsidRDefault="007A25F4" w:rsidP="00C72906">
      <w:pPr>
        <w:spacing w:after="0" w:line="240" w:lineRule="auto"/>
      </w:pPr>
      <w:r>
        <w:continuationSeparator/>
      </w:r>
    </w:p>
  </w:footnote>
  <w:footnote w:id="1">
    <w:p w14:paraId="01B47B91" w14:textId="1F9A98A3" w:rsidR="00C72906" w:rsidRDefault="00C72906">
      <w:pPr>
        <w:pStyle w:val="FootnoteText"/>
      </w:pPr>
      <w:r>
        <w:rPr>
          <w:rStyle w:val="FootnoteReference"/>
        </w:rPr>
        <w:footnoteRef/>
      </w:r>
      <w:r>
        <w:t xml:space="preserve"> </w:t>
      </w:r>
      <w:hyperlink r:id="rId1" w:history="1">
        <w:r w:rsidR="00553ACA" w:rsidRPr="00575222">
          <w:rPr>
            <w:rStyle w:val="Hyperlink"/>
          </w:rPr>
          <w:t>https://www.hud.gov/sites/dfiles/CPD/documents/FY21-YHDP-Appendix-A-Final.pdf</w:t>
        </w:r>
      </w:hyperlink>
      <w:r w:rsidR="00553AC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109C5"/>
    <w:multiLevelType w:val="multilevel"/>
    <w:tmpl w:val="D52691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989094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wMzU1MbQ0MDUBAiUdpeDU4uLM/DyQAvNaAFkgMs8sAAAA"/>
  </w:docVars>
  <w:rsids>
    <w:rsidRoot w:val="00BD7584"/>
    <w:rsid w:val="00017487"/>
    <w:rsid w:val="000867A1"/>
    <w:rsid w:val="001932AB"/>
    <w:rsid w:val="001C0CB3"/>
    <w:rsid w:val="003079FB"/>
    <w:rsid w:val="004000B1"/>
    <w:rsid w:val="004D2370"/>
    <w:rsid w:val="00553ACA"/>
    <w:rsid w:val="005A6584"/>
    <w:rsid w:val="005B1261"/>
    <w:rsid w:val="005B129A"/>
    <w:rsid w:val="005F71BE"/>
    <w:rsid w:val="00670E30"/>
    <w:rsid w:val="00673DA1"/>
    <w:rsid w:val="00674B76"/>
    <w:rsid w:val="00775CB2"/>
    <w:rsid w:val="00784D40"/>
    <w:rsid w:val="007A25F4"/>
    <w:rsid w:val="007B7286"/>
    <w:rsid w:val="007C19A9"/>
    <w:rsid w:val="00827380"/>
    <w:rsid w:val="00947AE0"/>
    <w:rsid w:val="00951F79"/>
    <w:rsid w:val="009B0041"/>
    <w:rsid w:val="00A134B3"/>
    <w:rsid w:val="00B4479E"/>
    <w:rsid w:val="00B50370"/>
    <w:rsid w:val="00B74991"/>
    <w:rsid w:val="00B74DBD"/>
    <w:rsid w:val="00BD54A0"/>
    <w:rsid w:val="00BD7584"/>
    <w:rsid w:val="00C70E0A"/>
    <w:rsid w:val="00C72906"/>
    <w:rsid w:val="00D12985"/>
    <w:rsid w:val="00D95A2A"/>
    <w:rsid w:val="00E601FA"/>
    <w:rsid w:val="00EC05BB"/>
    <w:rsid w:val="00EE45D1"/>
    <w:rsid w:val="00F765B5"/>
    <w:rsid w:val="00FC3778"/>
    <w:rsid w:val="1DD4BED4"/>
    <w:rsid w:val="1F75EC0A"/>
    <w:rsid w:val="210C5F96"/>
    <w:rsid w:val="2DD1BA41"/>
    <w:rsid w:val="3F8B9BF2"/>
    <w:rsid w:val="48695AE7"/>
    <w:rsid w:val="495E7F9B"/>
    <w:rsid w:val="4BC76E61"/>
    <w:rsid w:val="57D77143"/>
    <w:rsid w:val="615C69AC"/>
    <w:rsid w:val="7D2D9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7F08"/>
  <w15:chartTrackingRefBased/>
  <w15:docId w15:val="{C406C03F-8BD2-4237-9EA9-6A66F7FD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D75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75C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75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58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D7584"/>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efaultParagraphFont"/>
    <w:rsid w:val="00C72906"/>
  </w:style>
  <w:style w:type="paragraph" w:styleId="FootnoteText">
    <w:name w:val="footnote text"/>
    <w:basedOn w:val="Normal"/>
    <w:link w:val="FootnoteTextChar"/>
    <w:uiPriority w:val="99"/>
    <w:semiHidden/>
    <w:unhideWhenUsed/>
    <w:rsid w:val="00C729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906"/>
    <w:rPr>
      <w:sz w:val="20"/>
      <w:szCs w:val="20"/>
    </w:rPr>
  </w:style>
  <w:style w:type="character" w:styleId="FootnoteReference">
    <w:name w:val="footnote reference"/>
    <w:basedOn w:val="DefaultParagraphFont"/>
    <w:uiPriority w:val="99"/>
    <w:semiHidden/>
    <w:unhideWhenUsed/>
    <w:rsid w:val="00C72906"/>
    <w:rPr>
      <w:vertAlign w:val="superscript"/>
    </w:rPr>
  </w:style>
  <w:style w:type="character" w:styleId="Hyperlink">
    <w:name w:val="Hyperlink"/>
    <w:basedOn w:val="DefaultParagraphFont"/>
    <w:uiPriority w:val="99"/>
    <w:unhideWhenUsed/>
    <w:rsid w:val="00553ACA"/>
    <w:rPr>
      <w:color w:val="0563C1" w:themeColor="hyperlink"/>
      <w:u w:val="single"/>
    </w:rPr>
  </w:style>
  <w:style w:type="character" w:styleId="UnresolvedMention">
    <w:name w:val="Unresolved Mention"/>
    <w:basedOn w:val="DefaultParagraphFont"/>
    <w:uiPriority w:val="99"/>
    <w:semiHidden/>
    <w:unhideWhenUsed/>
    <w:rsid w:val="00553ACA"/>
    <w:rPr>
      <w:color w:val="605E5C"/>
      <w:shd w:val="clear" w:color="auto" w:fill="E1DFDD"/>
    </w:rPr>
  </w:style>
  <w:style w:type="paragraph" w:customStyle="1" w:styleId="m3086268514528854758msolistparagraph">
    <w:name w:val="m_3086268514528854758msolistparagraph"/>
    <w:basedOn w:val="Normal"/>
    <w:rsid w:val="00BD54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D54A0"/>
  </w:style>
  <w:style w:type="paragraph" w:styleId="NormalWeb">
    <w:name w:val="Normal (Web)"/>
    <w:basedOn w:val="Normal"/>
    <w:uiPriority w:val="99"/>
    <w:semiHidden/>
    <w:unhideWhenUsed/>
    <w:rsid w:val="001C0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75CB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56920">
      <w:bodyDiv w:val="1"/>
      <w:marLeft w:val="0"/>
      <w:marRight w:val="0"/>
      <w:marTop w:val="0"/>
      <w:marBottom w:val="0"/>
      <w:divBdr>
        <w:top w:val="none" w:sz="0" w:space="0" w:color="auto"/>
        <w:left w:val="none" w:sz="0" w:space="0" w:color="auto"/>
        <w:bottom w:val="none" w:sz="0" w:space="0" w:color="auto"/>
        <w:right w:val="none" w:sz="0" w:space="0" w:color="auto"/>
      </w:divBdr>
    </w:div>
    <w:div w:id="675153804">
      <w:bodyDiv w:val="1"/>
      <w:marLeft w:val="0"/>
      <w:marRight w:val="0"/>
      <w:marTop w:val="0"/>
      <w:marBottom w:val="0"/>
      <w:divBdr>
        <w:top w:val="none" w:sz="0" w:space="0" w:color="auto"/>
        <w:left w:val="none" w:sz="0" w:space="0" w:color="auto"/>
        <w:bottom w:val="none" w:sz="0" w:space="0" w:color="auto"/>
        <w:right w:val="none" w:sz="0" w:space="0" w:color="auto"/>
      </w:divBdr>
    </w:div>
    <w:div w:id="2058242528">
      <w:bodyDiv w:val="1"/>
      <w:marLeft w:val="0"/>
      <w:marRight w:val="0"/>
      <w:marTop w:val="0"/>
      <w:marBottom w:val="0"/>
      <w:divBdr>
        <w:top w:val="none" w:sz="0" w:space="0" w:color="auto"/>
        <w:left w:val="none" w:sz="0" w:space="0" w:color="auto"/>
        <w:bottom w:val="none" w:sz="0" w:space="0" w:color="auto"/>
        <w:right w:val="none" w:sz="0" w:space="0" w:color="auto"/>
      </w:divBdr>
    </w:div>
    <w:div w:id="207030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coln.ne.gov/City/Departments/Urban-Development/Housing"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hudexchange.info/resource/2033/hearth-coc-program-interim-rule/"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exchange.info/homelessness-assistance/coc-esg-virtual-binders/coc-eligible-activities/supportive-servi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files.hudexchange.info/resources/documents/Determining-Homeless-Status-of-Youth.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ud.gov/sites/dfiles/CPD/documents/FY21-YHDP-Appendix-A-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Labenz</dc:creator>
  <cp:keywords/>
  <dc:description/>
  <cp:lastModifiedBy>Jeffrey Chambers</cp:lastModifiedBy>
  <cp:revision>2</cp:revision>
  <dcterms:created xsi:type="dcterms:W3CDTF">2022-05-05T19:46:00Z</dcterms:created>
  <dcterms:modified xsi:type="dcterms:W3CDTF">2022-05-05T19:46:00Z</dcterms:modified>
</cp:coreProperties>
</file>